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0" w:line="220" w:lineRule="auto"/>
        <w:ind w:left="2939"/>
        <w:outlineLvl w:val="0"/>
        <w:rPr>
          <w:rFonts w:ascii="宋体" w:hAnsi="宋体" w:eastAsia="宋体" w:cs="宋体"/>
          <w:sz w:val="35"/>
          <w:szCs w:val="35"/>
        </w:rPr>
      </w:pPr>
      <w:r>
        <w:rPr>
          <w:rFonts w:ascii="宋体" w:hAnsi="宋体" w:eastAsia="宋体" w:cs="宋体"/>
          <w:b/>
          <w:bCs/>
          <w:spacing w:val="-1"/>
          <w:sz w:val="35"/>
          <w:szCs w:val="35"/>
        </w:rPr>
        <w:t>土地复垦方案评审表</w:t>
      </w:r>
    </w:p>
    <w:p>
      <w:pPr>
        <w:spacing w:line="37" w:lineRule="exact"/>
      </w:pPr>
    </w:p>
    <w:tbl>
      <w:tblPr>
        <w:tblStyle w:val="6"/>
        <w:tblW w:w="899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5"/>
        <w:gridCol w:w="2357"/>
        <w:gridCol w:w="1778"/>
        <w:gridCol w:w="43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822" w:type="dxa"/>
            <w:gridSpan w:val="2"/>
            <w:vAlign w:val="top"/>
          </w:tcPr>
          <w:p>
            <w:pPr>
              <w:pStyle w:val="7"/>
              <w:spacing w:before="194" w:line="219" w:lineRule="auto"/>
              <w:ind w:left="325"/>
            </w:pPr>
            <w:r>
              <w:rPr>
                <w:spacing w:val="1"/>
              </w:rPr>
              <w:t>生产(建设)项目名称</w:t>
            </w:r>
          </w:p>
        </w:tc>
        <w:tc>
          <w:tcPr>
            <w:tcW w:w="6168" w:type="dxa"/>
            <w:gridSpan w:val="2"/>
            <w:vAlign w:val="top"/>
          </w:tcPr>
          <w:p>
            <w:pPr>
              <w:pStyle w:val="7"/>
              <w:spacing w:before="44" w:line="219" w:lineRule="auto"/>
              <w:ind w:left="1993" w:right="435" w:hanging="1560"/>
            </w:pPr>
            <w:r>
              <w:t>云南省洱源县乔后镇大树铜多金属矿详查临时用地</w:t>
            </w:r>
            <w:r>
              <w:rPr>
                <w:spacing w:val="8"/>
              </w:rPr>
              <w:t xml:space="preserve"> </w:t>
            </w:r>
            <w:r>
              <w:rPr>
                <w:spacing w:val="1"/>
              </w:rPr>
              <w:t>土地复垦方案报告书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2822" w:type="dxa"/>
            <w:gridSpan w:val="2"/>
            <w:vAlign w:val="top"/>
          </w:tcPr>
          <w:p>
            <w:pPr>
              <w:pStyle w:val="7"/>
              <w:spacing w:before="130" w:line="219" w:lineRule="auto"/>
              <w:ind w:left="325"/>
            </w:pPr>
            <w:r>
              <w:rPr>
                <w:spacing w:val="1"/>
              </w:rPr>
              <w:t>生产(建设)单位名称</w:t>
            </w:r>
          </w:p>
        </w:tc>
        <w:tc>
          <w:tcPr>
            <w:tcW w:w="6168" w:type="dxa"/>
            <w:gridSpan w:val="2"/>
            <w:vAlign w:val="top"/>
          </w:tcPr>
          <w:p>
            <w:pPr>
              <w:pStyle w:val="7"/>
              <w:spacing w:before="130" w:line="219" w:lineRule="auto"/>
              <w:ind w:left="1513"/>
            </w:pPr>
            <w:r>
              <w:rPr>
                <w:spacing w:val="2"/>
              </w:rPr>
              <w:t>大理聚冠宏矿业开发有限公司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2822" w:type="dxa"/>
            <w:gridSpan w:val="2"/>
            <w:vAlign w:val="top"/>
          </w:tcPr>
          <w:p>
            <w:pPr>
              <w:pStyle w:val="7"/>
              <w:spacing w:before="111" w:line="219" w:lineRule="auto"/>
              <w:ind w:left="445"/>
            </w:pPr>
            <w:r>
              <w:rPr>
                <w:spacing w:val="1"/>
              </w:rPr>
              <w:t>方案编制单位名称</w:t>
            </w:r>
          </w:p>
        </w:tc>
        <w:tc>
          <w:tcPr>
            <w:tcW w:w="6168" w:type="dxa"/>
            <w:gridSpan w:val="2"/>
            <w:vAlign w:val="top"/>
          </w:tcPr>
          <w:p>
            <w:pPr>
              <w:pStyle w:val="7"/>
              <w:spacing w:before="111" w:line="219" w:lineRule="auto"/>
              <w:ind w:left="1393"/>
            </w:pPr>
            <w:r>
              <w:rPr>
                <w:spacing w:val="2"/>
              </w:rPr>
              <w:t>云南优地土地技术咨询有限公司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822" w:type="dxa"/>
            <w:gridSpan w:val="2"/>
            <w:vMerge w:val="restart"/>
            <w:tcBorders>
              <w:bottom w:val="nil"/>
            </w:tcBorders>
            <w:vAlign w:val="top"/>
          </w:tcPr>
          <w:p>
            <w:pPr>
              <w:spacing w:line="283" w:lineRule="auto"/>
              <w:rPr>
                <w:rFonts w:ascii="Arial"/>
                <w:sz w:val="21"/>
              </w:rPr>
            </w:pPr>
          </w:p>
          <w:p>
            <w:pPr>
              <w:pStyle w:val="7"/>
              <w:spacing w:before="78" w:line="219" w:lineRule="auto"/>
              <w:ind w:left="445"/>
            </w:pPr>
            <w:r>
              <w:rPr>
                <w:spacing w:val="1"/>
              </w:rPr>
              <w:t>复垦责任范围面积</w:t>
            </w:r>
          </w:p>
        </w:tc>
        <w:tc>
          <w:tcPr>
            <w:tcW w:w="1778" w:type="dxa"/>
            <w:vAlign w:val="top"/>
          </w:tcPr>
          <w:p>
            <w:pPr>
              <w:pStyle w:val="7"/>
              <w:spacing w:before="123" w:line="220" w:lineRule="auto"/>
              <w:ind w:left="163"/>
            </w:pPr>
            <w:r>
              <w:rPr>
                <w:spacing w:val="2"/>
              </w:rPr>
              <w:t>占用土地面积</w:t>
            </w:r>
          </w:p>
        </w:tc>
        <w:tc>
          <w:tcPr>
            <w:tcW w:w="4390" w:type="dxa"/>
            <w:vAlign w:val="top"/>
          </w:tcPr>
          <w:p>
            <w:pPr>
              <w:pStyle w:val="7"/>
              <w:spacing w:before="184" w:line="183" w:lineRule="auto"/>
              <w:ind w:left="2124"/>
            </w:pPr>
            <w: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2822" w:type="dxa"/>
            <w:gridSpan w:val="2"/>
            <w:vMerge w:val="continue"/>
            <w:tcBorders>
              <w:top w:val="nil"/>
            </w:tcBorders>
            <w:vAlign w:val="top"/>
          </w:tcPr>
          <w:p>
            <w:pPr>
              <w:rPr>
                <w:rFonts w:ascii="Arial"/>
                <w:sz w:val="21"/>
              </w:rPr>
            </w:pPr>
          </w:p>
        </w:tc>
        <w:tc>
          <w:tcPr>
            <w:tcW w:w="1778" w:type="dxa"/>
            <w:vAlign w:val="top"/>
          </w:tcPr>
          <w:p>
            <w:pPr>
              <w:pStyle w:val="7"/>
              <w:spacing w:before="113" w:line="220" w:lineRule="auto"/>
              <w:ind w:left="163"/>
            </w:pPr>
            <w:r>
              <w:rPr>
                <w:spacing w:val="2"/>
              </w:rPr>
              <w:t>损毁土地面积</w:t>
            </w:r>
          </w:p>
        </w:tc>
        <w:tc>
          <w:tcPr>
            <w:tcW w:w="4390" w:type="dxa"/>
            <w:vAlign w:val="top"/>
          </w:tcPr>
          <w:p>
            <w:pPr>
              <w:pStyle w:val="7"/>
              <w:spacing w:before="113" w:line="220" w:lineRule="auto"/>
              <w:ind w:left="1584"/>
            </w:pPr>
            <w:r>
              <w:rPr>
                <w:spacing w:val="1"/>
              </w:rPr>
              <w:t>2.0400公顷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2822" w:type="dxa"/>
            <w:gridSpan w:val="2"/>
            <w:vAlign w:val="top"/>
          </w:tcPr>
          <w:p>
            <w:pPr>
              <w:pStyle w:val="7"/>
              <w:spacing w:before="112" w:line="219" w:lineRule="auto"/>
              <w:ind w:left="445"/>
            </w:pPr>
            <w:r>
              <w:rPr>
                <w:spacing w:val="1"/>
              </w:rPr>
              <w:t>临时用地使用年限</w:t>
            </w:r>
          </w:p>
        </w:tc>
        <w:tc>
          <w:tcPr>
            <w:tcW w:w="6168" w:type="dxa"/>
            <w:gridSpan w:val="2"/>
            <w:vAlign w:val="top"/>
          </w:tcPr>
          <w:p>
            <w:pPr>
              <w:pStyle w:val="7"/>
              <w:spacing w:before="112" w:line="219" w:lineRule="auto"/>
              <w:ind w:left="1452"/>
            </w:pPr>
            <w:r>
              <w:rPr>
                <w:spacing w:val="2"/>
              </w:rPr>
              <w:t>3.1年(2024年2月～2027年3月)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57" w:hRule="atLeast"/>
        </w:trPr>
        <w:tc>
          <w:tcPr>
            <w:tcW w:w="465" w:type="dxa"/>
            <w:textDirection w:val="tbRlV"/>
            <w:vAlign w:val="top"/>
          </w:tcPr>
          <w:p>
            <w:pPr>
              <w:pStyle w:val="7"/>
              <w:spacing w:before="180" w:line="216" w:lineRule="auto"/>
              <w:ind w:left="3331"/>
            </w:pPr>
            <w:r>
              <w:t>专</w:t>
            </w:r>
            <w:r>
              <w:rPr>
                <w:spacing w:val="47"/>
              </w:rPr>
              <w:t xml:space="preserve">  </w:t>
            </w:r>
            <w:r>
              <w:t>家</w:t>
            </w:r>
            <w:r>
              <w:rPr>
                <w:spacing w:val="47"/>
              </w:rPr>
              <w:t xml:space="preserve">  </w:t>
            </w:r>
            <w:r>
              <w:t>评</w:t>
            </w:r>
            <w:r>
              <w:rPr>
                <w:spacing w:val="48"/>
              </w:rPr>
              <w:t xml:space="preserve">  </w:t>
            </w:r>
            <w:r>
              <w:t>审</w:t>
            </w:r>
            <w:r>
              <w:rPr>
                <w:spacing w:val="47"/>
              </w:rPr>
              <w:t xml:space="preserve">  </w:t>
            </w:r>
            <w:r>
              <w:t>意</w:t>
            </w:r>
            <w:r>
              <w:rPr>
                <w:spacing w:val="48"/>
              </w:rPr>
              <w:t xml:space="preserve">  </w:t>
            </w:r>
            <w:r>
              <w:t>见</w:t>
            </w:r>
          </w:p>
        </w:tc>
        <w:tc>
          <w:tcPr>
            <w:tcW w:w="8525" w:type="dxa"/>
            <w:gridSpan w:val="3"/>
            <w:vAlign w:val="top"/>
          </w:tcPr>
          <w:p>
            <w:pPr>
              <w:pStyle w:val="7"/>
              <w:spacing w:before="181" w:line="440" w:lineRule="exact"/>
              <w:jc w:val="right"/>
            </w:pPr>
            <w:r>
              <w:rPr>
                <w:spacing w:val="-17"/>
                <w:position w:val="15"/>
              </w:rPr>
              <w:t>根据《土地复垦条例》</w:t>
            </w:r>
            <w:r>
              <w:rPr>
                <w:spacing w:val="18"/>
                <w:position w:val="15"/>
              </w:rPr>
              <w:t xml:space="preserve">   </w:t>
            </w:r>
            <w:r>
              <w:rPr>
                <w:spacing w:val="-17"/>
                <w:position w:val="15"/>
              </w:rPr>
              <w:t>(国务院令第592</w:t>
            </w:r>
            <w:r>
              <w:rPr>
                <w:spacing w:val="-18"/>
                <w:position w:val="15"/>
              </w:rPr>
              <w:t>号)、</w:t>
            </w:r>
            <w:r>
              <w:rPr>
                <w:spacing w:val="9"/>
                <w:position w:val="15"/>
              </w:rPr>
              <w:t xml:space="preserve">    </w:t>
            </w:r>
            <w:r>
              <w:rPr>
                <w:spacing w:val="-18"/>
                <w:position w:val="15"/>
              </w:rPr>
              <w:t>《土地复垦条例实施办法》</w:t>
            </w:r>
          </w:p>
          <w:p>
            <w:pPr>
              <w:pStyle w:val="7"/>
              <w:spacing w:line="218" w:lineRule="auto"/>
              <w:ind w:left="290"/>
            </w:pPr>
            <w:r>
              <w:rPr>
                <w:spacing w:val="-3"/>
              </w:rPr>
              <w:t>(自然资源部令第56号)和云南省自然资源厅《转发自然资源部关于贯彻落实</w:t>
            </w:r>
          </w:p>
          <w:p>
            <w:pPr>
              <w:pStyle w:val="7"/>
              <w:spacing w:before="156" w:line="429" w:lineRule="exact"/>
              <w:jc w:val="right"/>
            </w:pPr>
            <w:r>
              <w:rPr>
                <w:spacing w:val="-15"/>
                <w:position w:val="14"/>
              </w:rPr>
              <w:t>〈土</w:t>
            </w:r>
            <w:r>
              <w:rPr>
                <w:spacing w:val="-14"/>
                <w:position w:val="14"/>
              </w:rPr>
              <w:t>地复垦条例〉的通知》</w:t>
            </w:r>
            <w:r>
              <w:rPr>
                <w:spacing w:val="18"/>
                <w:position w:val="14"/>
              </w:rPr>
              <w:t xml:space="preserve">   </w:t>
            </w:r>
            <w:r>
              <w:rPr>
                <w:spacing w:val="-14"/>
                <w:position w:val="14"/>
              </w:rPr>
              <w:t>(云国土资〔2011〕184号)、    《关于贯彻落实〈</w:t>
            </w:r>
            <w:r>
              <w:rPr>
                <w:spacing w:val="-12"/>
                <w:position w:val="14"/>
              </w:rPr>
              <w:t>土</w:t>
            </w:r>
          </w:p>
          <w:p>
            <w:pPr>
              <w:pStyle w:val="7"/>
              <w:spacing w:before="1" w:line="218" w:lineRule="auto"/>
              <w:ind w:left="150"/>
            </w:pPr>
            <w:r>
              <w:rPr>
                <w:spacing w:val="1"/>
              </w:rPr>
              <w:t>地复垦条例实施办法〉的通知》(云国土资耕(2013</w:t>
            </w:r>
            <w:r>
              <w:t>)53号)相关规定，大理州</w:t>
            </w:r>
          </w:p>
          <w:p>
            <w:pPr>
              <w:pStyle w:val="7"/>
              <w:spacing w:before="157" w:line="334" w:lineRule="auto"/>
              <w:ind w:left="49" w:firstLine="129"/>
            </w:pPr>
            <w:r>
              <w:rPr>
                <w:spacing w:val="-2"/>
              </w:rPr>
              <w:t>自然资源和规划局组织专家对云南优地土地技术咨询有限公司编制的《云南省洱</w:t>
            </w:r>
            <w:r>
              <w:rPr>
                <w:spacing w:val="4"/>
              </w:rPr>
              <w:t xml:space="preserve"> </w:t>
            </w:r>
            <w:r>
              <w:t>源县乔后镇大树铜多金属矿详查临时用地土地复垦方案报告书》进行了</w:t>
            </w:r>
            <w:r>
              <w:rPr>
                <w:spacing w:val="-1"/>
              </w:rPr>
              <w:t>审查。专</w:t>
            </w:r>
          </w:p>
          <w:p>
            <w:pPr>
              <w:pStyle w:val="7"/>
              <w:spacing w:before="1" w:line="218" w:lineRule="auto"/>
              <w:ind w:left="109"/>
            </w:pPr>
            <w:r>
              <w:t>家组依据《土地复垦方案编制规程》(TD/T1031-—2011)、《土地复垦质量控制</w:t>
            </w:r>
          </w:p>
          <w:p>
            <w:pPr>
              <w:pStyle w:val="7"/>
              <w:spacing w:before="166" w:line="440" w:lineRule="exact"/>
              <w:ind w:left="230"/>
            </w:pPr>
            <w:r>
              <w:rPr>
                <w:position w:val="14"/>
              </w:rPr>
              <w:t>标准》(TD/T1036—2013)及土地开发整理工程建设标准等技术规程规范要求，</w:t>
            </w:r>
          </w:p>
          <w:p>
            <w:pPr>
              <w:pStyle w:val="7"/>
              <w:spacing w:before="1" w:line="218" w:lineRule="auto"/>
              <w:ind w:left="49"/>
            </w:pPr>
            <w:r>
              <w:rPr>
                <w:spacing w:val="1"/>
              </w:rPr>
              <w:t>听取了编制单位就本方案编制成果内容的汇报，认真审阅了相关资料</w:t>
            </w:r>
            <w:r>
              <w:t>，并进行了</w:t>
            </w:r>
          </w:p>
          <w:p>
            <w:pPr>
              <w:pStyle w:val="7"/>
              <w:spacing w:before="156" w:line="219" w:lineRule="auto"/>
              <w:ind w:left="170"/>
            </w:pPr>
            <w:r>
              <w:t>充分质询和讨论，形成评审意见如下：</w:t>
            </w:r>
          </w:p>
          <w:p>
            <w:pPr>
              <w:pStyle w:val="7"/>
              <w:spacing w:before="155" w:line="346" w:lineRule="auto"/>
              <w:ind w:left="110" w:firstLine="529"/>
            </w:pPr>
            <w:r>
              <w:rPr>
                <w:spacing w:val="-1"/>
              </w:rPr>
              <w:t>一、本土地复垦方案报告、图件成果齐全，格</w:t>
            </w:r>
            <w:r>
              <w:rPr>
                <w:spacing w:val="-2"/>
              </w:rPr>
              <w:t>式符合要求；方案编制目的明</w:t>
            </w:r>
            <w:r>
              <w:t xml:space="preserve"> 确、程序合理，资料收集和公众参与较为充分，调查评价与分析</w:t>
            </w:r>
            <w:r>
              <w:rPr>
                <w:spacing w:val="-1"/>
              </w:rPr>
              <w:t>处理方法正确，</w:t>
            </w:r>
          </w:p>
          <w:p>
            <w:pPr>
              <w:pStyle w:val="7"/>
              <w:spacing w:before="1" w:line="218" w:lineRule="auto"/>
              <w:ind w:left="150"/>
            </w:pPr>
            <w:r>
              <w:rPr>
                <w:spacing w:val="-1"/>
              </w:rPr>
              <w:t>相关数据来源和结果基本可信。</w:t>
            </w:r>
          </w:p>
          <w:p>
            <w:pPr>
              <w:pStyle w:val="7"/>
              <w:spacing w:before="143" w:line="341" w:lineRule="auto"/>
              <w:ind w:left="49" w:firstLine="572"/>
            </w:pPr>
            <w:r>
              <w:rPr>
                <w:spacing w:val="-4"/>
              </w:rPr>
              <w:t xml:space="preserve">二、云南省洱源县乔后镇大树铜多金属矿详查临时用地位于云南省大理州洱 </w:t>
            </w:r>
            <w:r>
              <w:rPr>
                <w:spacing w:val="-3"/>
              </w:rPr>
              <w:t>源县乔后镇大树村村民委员会。项目属于建设项目临时用地，为探矿权“云南省</w:t>
            </w:r>
            <w:r>
              <w:rPr>
                <w:spacing w:val="6"/>
              </w:rPr>
              <w:t xml:space="preserve">  </w:t>
            </w:r>
            <w:r>
              <w:rPr>
                <w:spacing w:val="-5"/>
              </w:rPr>
              <w:t>洱源县乔后镇大树铜多金属矿详查”的临时用地区域，由生活区、硐口工业场地、</w:t>
            </w:r>
            <w:r>
              <w:rPr>
                <w:spacing w:val="4"/>
              </w:rPr>
              <w:t xml:space="preserve"> </w:t>
            </w:r>
            <w:r>
              <w:rPr>
                <w:spacing w:val="-1"/>
              </w:rPr>
              <w:t>炸药库、排土场、矿山道路、值班室六部分组成，临时用地总面积2.</w:t>
            </w:r>
            <w:r>
              <w:rPr>
                <w:spacing w:val="-2"/>
              </w:rPr>
              <w:t>0400公顷。</w:t>
            </w:r>
          </w:p>
          <w:p>
            <w:pPr>
              <w:pStyle w:val="7"/>
              <w:spacing w:before="1" w:line="219" w:lineRule="auto"/>
              <w:ind w:left="227"/>
            </w:pPr>
            <w:r>
              <w:rPr>
                <w:spacing w:val="-2"/>
              </w:rPr>
              <w:t>复垦责任范围面积2.0400公顷，无永久</w:t>
            </w:r>
            <w:r>
              <w:rPr>
                <w:spacing w:val="-3"/>
              </w:rPr>
              <w:t>性建设用地，复垦区面积2.0400公顷，</w:t>
            </w:r>
          </w:p>
          <w:p>
            <w:pPr>
              <w:pStyle w:val="7"/>
              <w:spacing w:before="154" w:line="430" w:lineRule="exact"/>
              <w:ind w:left="170"/>
            </w:pPr>
            <w:r>
              <w:rPr>
                <w:position w:val="14"/>
              </w:rPr>
              <w:t>其中复垦为旱地0.3049公顷、乔木林地1.5152公顷、农村道路0.2199公顷。本</w:t>
            </w:r>
          </w:p>
          <w:p>
            <w:pPr>
              <w:pStyle w:val="7"/>
              <w:spacing w:before="1" w:line="219" w:lineRule="auto"/>
              <w:ind w:left="130"/>
            </w:pPr>
            <w:r>
              <w:t>土地复垦方案适用年限为6.1年，即2024年2月至2030年3月。</w:t>
            </w:r>
          </w:p>
          <w:p>
            <w:pPr>
              <w:pStyle w:val="7"/>
              <w:spacing w:before="166" w:line="338" w:lineRule="auto"/>
              <w:ind w:left="49" w:firstLine="559"/>
            </w:pPr>
            <w:r>
              <w:rPr>
                <w:spacing w:val="-1"/>
              </w:rPr>
              <w:t>三、本复垦方案中土地损毁分析与预测基本合理，原则同意方案确定的复垦</w:t>
            </w:r>
            <w:r>
              <w:rPr>
                <w:spacing w:val="17"/>
              </w:rPr>
              <w:t xml:space="preserve"> </w:t>
            </w:r>
            <w:r>
              <w:t>区土地利用现状和复垦责任范围。依据项目实际情况和建设工艺及流程，项目区</w:t>
            </w:r>
            <w:r>
              <w:rPr>
                <w:spacing w:val="13"/>
              </w:rPr>
              <w:t xml:space="preserve"> </w:t>
            </w:r>
            <w:r>
              <w:rPr>
                <w:spacing w:val="3"/>
              </w:rPr>
              <w:t>内已损毁土地面积0.6117公顷，拟损毁土地面积1.4283公顷，损毁土地方式为</w:t>
            </w:r>
          </w:p>
          <w:p>
            <w:pPr>
              <w:pStyle w:val="7"/>
              <w:spacing w:before="1" w:line="218" w:lineRule="auto"/>
              <w:ind w:left="169"/>
            </w:pPr>
            <w:r>
              <w:t>压占，损毁土地面积2.0400公顷。复垦责任范围面积2.0400公顷，本项目不占</w:t>
            </w:r>
          </w:p>
        </w:tc>
      </w:tr>
    </w:tbl>
    <w:p>
      <w:pPr>
        <w:rPr>
          <w:rFonts w:ascii="Arial"/>
          <w:sz w:val="21"/>
        </w:rPr>
      </w:pPr>
    </w:p>
    <w:p>
      <w:pPr>
        <w:rPr>
          <w:rFonts w:ascii="Arial" w:hAnsi="Arial" w:eastAsia="Arial" w:cs="Arial"/>
          <w:sz w:val="21"/>
          <w:szCs w:val="21"/>
        </w:rPr>
        <w:sectPr>
          <w:pgSz w:w="11910" w:h="16840"/>
          <w:pgMar w:top="1210" w:right="1375" w:bottom="0" w:left="1534" w:header="0" w:footer="0" w:gutter="0"/>
          <w:cols w:space="720" w:num="1"/>
        </w:sectPr>
      </w:pPr>
    </w:p>
    <w:tbl>
      <w:tblPr>
        <w:tblStyle w:val="6"/>
        <w:tblW w:w="896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4"/>
        <w:gridCol w:w="85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90" w:hRule="atLeast"/>
        </w:trPr>
        <w:tc>
          <w:tcPr>
            <w:tcW w:w="434" w:type="dxa"/>
            <w:textDirection w:val="tbRlV"/>
            <w:vAlign w:val="top"/>
          </w:tcPr>
          <w:p>
            <w:pPr>
              <w:pStyle w:val="7"/>
              <w:spacing w:before="139" w:line="216" w:lineRule="auto"/>
              <w:ind w:left="5313"/>
            </w:pPr>
            <w:r>
              <w:t>专</w:t>
            </w:r>
            <w:r>
              <w:rPr>
                <w:spacing w:val="45"/>
              </w:rPr>
              <w:t xml:space="preserve">  </w:t>
            </w:r>
            <w:r>
              <w:t>家</w:t>
            </w:r>
            <w:r>
              <w:rPr>
                <w:spacing w:val="45"/>
              </w:rPr>
              <w:t xml:space="preserve">  </w:t>
            </w:r>
            <w:r>
              <w:t>评</w:t>
            </w:r>
            <w:r>
              <w:rPr>
                <w:spacing w:val="46"/>
              </w:rPr>
              <w:t xml:space="preserve">  </w:t>
            </w:r>
            <w:r>
              <w:t>审</w:t>
            </w:r>
            <w:r>
              <w:rPr>
                <w:spacing w:val="45"/>
              </w:rPr>
              <w:t xml:space="preserve">  </w:t>
            </w:r>
            <w:r>
              <w:t>意</w:t>
            </w:r>
            <w:r>
              <w:rPr>
                <w:spacing w:val="46"/>
              </w:rPr>
              <w:t xml:space="preserve">  </w:t>
            </w:r>
            <w:r>
              <w:t>见</w:t>
            </w:r>
          </w:p>
        </w:tc>
        <w:tc>
          <w:tcPr>
            <w:tcW w:w="8527" w:type="dxa"/>
            <w:vAlign w:val="top"/>
          </w:tcPr>
          <w:p>
            <w:pPr>
              <w:pStyle w:val="7"/>
              <w:spacing w:before="153" w:line="219" w:lineRule="auto"/>
              <w:ind w:left="141"/>
            </w:pPr>
            <w:r>
              <w:t>用永久基本农田、生态保护红线、城镇开发边界。</w:t>
            </w:r>
          </w:p>
          <w:p>
            <w:pPr>
              <w:pStyle w:val="7"/>
              <w:spacing w:before="175" w:line="331" w:lineRule="auto"/>
              <w:ind w:left="51" w:right="7" w:firstLine="569"/>
            </w:pPr>
            <w:r>
              <w:rPr>
                <w:spacing w:val="-1"/>
              </w:rPr>
              <w:t>四、本复垦方案中关于土地复垦单元的划分基本合理，土地复垦适宜性评价</w:t>
            </w:r>
            <w:r>
              <w:t xml:space="preserve"> 过程和结果基本可信，原则同意方案确定的土地复垦</w:t>
            </w:r>
            <w:r>
              <w:rPr>
                <w:spacing w:val="-1"/>
              </w:rPr>
              <w:t>目标任务。项目拟复垦土地</w:t>
            </w:r>
          </w:p>
          <w:p>
            <w:pPr>
              <w:pStyle w:val="7"/>
              <w:spacing w:line="218" w:lineRule="auto"/>
              <w:ind w:left="151"/>
            </w:pPr>
            <w:r>
              <w:rPr>
                <w:spacing w:val="-1"/>
              </w:rPr>
              <w:t>面积2.0400公顷，复垦地类为旱地、乔木林地、农村道路，复垦率为</w:t>
            </w:r>
            <w:r>
              <w:rPr>
                <w:color w:val="00166F"/>
                <w:spacing w:val="-1"/>
              </w:rPr>
              <w:t>100%</w:t>
            </w:r>
          </w:p>
          <w:p>
            <w:pPr>
              <w:pStyle w:val="7"/>
              <w:spacing w:before="166" w:line="341" w:lineRule="auto"/>
              <w:ind w:left="51" w:firstLine="569"/>
            </w:pPr>
            <w:r>
              <w:rPr>
                <w:spacing w:val="-1"/>
              </w:rPr>
              <w:t>五、本复垦方案中针对不同复垦方向提出各复垦单元的土地复垦质量要求符</w:t>
            </w:r>
            <w:r>
              <w:rPr>
                <w:spacing w:val="8"/>
              </w:rPr>
              <w:t xml:space="preserve"> </w:t>
            </w:r>
            <w:r>
              <w:t>合相关技术标准，基本同意方案拟采用的主要复垦措施和工程设计，在具体实施 前，要结合复垦区实际情况，进一步细化复垦工程规划设计，明确各种复垦措施</w:t>
            </w:r>
          </w:p>
          <w:p>
            <w:pPr>
              <w:pStyle w:val="7"/>
              <w:spacing w:line="219" w:lineRule="auto"/>
              <w:ind w:left="160"/>
            </w:pPr>
            <w:r>
              <w:rPr>
                <w:spacing w:val="-1"/>
              </w:rPr>
              <w:t>的具体技术参数，加强方案的可操作性。</w:t>
            </w:r>
          </w:p>
          <w:p>
            <w:pPr>
              <w:pStyle w:val="7"/>
              <w:spacing w:before="155" w:line="340" w:lineRule="auto"/>
              <w:ind w:left="51" w:right="53" w:firstLine="550"/>
            </w:pPr>
            <w:r>
              <w:t>六、本复垦方案中对复垦工程量的测算基本准确，投资概(测)算采用的依</w:t>
            </w:r>
            <w:r>
              <w:rPr>
                <w:spacing w:val="6"/>
              </w:rPr>
              <w:t xml:space="preserve">  </w:t>
            </w:r>
            <w:r>
              <w:t>据合理、方法正确，基本同意土地复垦费用估算结果。确定本项目土地复垦静态</w:t>
            </w:r>
            <w:r>
              <w:rPr>
                <w:spacing w:val="11"/>
              </w:rPr>
              <w:t xml:space="preserve"> </w:t>
            </w:r>
            <w:r>
              <w:t>总投资455933.11元，动态总投资519141.09元；单位面积投资14899.77元/亩(静</w:t>
            </w:r>
          </w:p>
          <w:p>
            <w:pPr>
              <w:pStyle w:val="7"/>
              <w:spacing w:before="1" w:line="216" w:lineRule="auto"/>
              <w:ind w:left="141"/>
            </w:pPr>
            <w:r>
              <w:t>态),16965.40元/亩(动态)。</w:t>
            </w:r>
          </w:p>
          <w:p>
            <w:pPr>
              <w:pStyle w:val="7"/>
              <w:spacing w:before="158" w:line="336" w:lineRule="auto"/>
              <w:ind w:left="51" w:right="5" w:firstLine="569"/>
            </w:pPr>
            <w:r>
              <w:rPr>
                <w:spacing w:val="-1"/>
              </w:rPr>
              <w:t>七、本复垦方案中对土地复垦工作计划和费用安排、制定的相关保障措施基</w:t>
            </w:r>
            <w:r>
              <w:rPr>
                <w:spacing w:val="2"/>
              </w:rPr>
              <w:t xml:space="preserve"> </w:t>
            </w:r>
            <w:r>
              <w:t>本合理、可行。要进一步明确土地复垦义务人应根据土地复垦工作安排编制年度</w:t>
            </w:r>
            <w:r>
              <w:rPr>
                <w:spacing w:val="13"/>
              </w:rPr>
              <w:t xml:space="preserve"> </w:t>
            </w:r>
            <w:r>
              <w:t>土地复垦实施计划，定期向自然资源主管部门报告当年复垦情况；采取有效措施</w:t>
            </w:r>
            <w:r>
              <w:rPr>
                <w:spacing w:val="10"/>
              </w:rPr>
              <w:t xml:space="preserve"> </w:t>
            </w:r>
            <w:r>
              <w:t>保障复垦费用从项目生产成本中足额提取、提前预存、专款专用，因生产建设或</w:t>
            </w:r>
            <w:r>
              <w:rPr>
                <w:spacing w:val="10"/>
              </w:rPr>
              <w:t xml:space="preserve"> </w:t>
            </w:r>
            <w:r>
              <w:t>不可预见因素等导致损毁土地方式和范围发生变化，预提的土地复垦费用不能满</w:t>
            </w:r>
          </w:p>
          <w:p>
            <w:pPr>
              <w:pStyle w:val="7"/>
              <w:spacing w:before="1" w:line="219" w:lineRule="auto"/>
              <w:ind w:left="121"/>
            </w:pPr>
            <w:r>
              <w:t>足复垦需求的，要及时足额追加投资，确保土地复垦工作顺利进行。</w:t>
            </w:r>
          </w:p>
          <w:p>
            <w:pPr>
              <w:pStyle w:val="7"/>
              <w:spacing w:before="126" w:line="343" w:lineRule="auto"/>
              <w:ind w:left="51" w:firstLine="533"/>
            </w:pPr>
            <w:r>
              <w:rPr>
                <w:spacing w:val="-3"/>
              </w:rPr>
              <w:t>综上所述，该土地复垦方案编制内容和成果总体符合土地复垦相关法律法规 和技术规程规范的要求，相关分析评价依据较为充分，结论基本可信，对复垦责</w:t>
            </w:r>
            <w:r>
              <w:rPr>
                <w:spacing w:val="8"/>
              </w:rPr>
              <w:t xml:space="preserve">  </w:t>
            </w:r>
            <w:r>
              <w:rPr>
                <w:spacing w:val="-2"/>
              </w:rPr>
              <w:t>任范围内损毁土地确定的复垦目标任务和拟</w:t>
            </w:r>
            <w:r>
              <w:rPr>
                <w:spacing w:val="-3"/>
              </w:rPr>
              <w:t>采取的复垦措施基本合理，复垦投资</w:t>
            </w:r>
            <w:r>
              <w:t xml:space="preserve">  </w:t>
            </w:r>
            <w:r>
              <w:rPr>
                <w:spacing w:val="1"/>
              </w:rPr>
              <w:t>估(测)算结果基本准确，制定的复垦工作计划、费用安排及相关保</w:t>
            </w:r>
            <w:r>
              <w:t xml:space="preserve">障措施具有   </w:t>
            </w:r>
            <w:r>
              <w:rPr>
                <w:spacing w:val="1"/>
              </w:rPr>
              <w:t>可操作性，可作为指导土地复垦义务人(生产建设单位)开展土地复垦工</w:t>
            </w:r>
            <w:r>
              <w:t xml:space="preserve">作的依   </w:t>
            </w:r>
            <w:r>
              <w:rPr>
                <w:spacing w:val="-3"/>
              </w:rPr>
              <w:t>据。专家组原则同意通过评审，土地复垦义务人(生产建设单位)需尽快</w:t>
            </w:r>
            <w:r>
              <w:rPr>
                <w:spacing w:val="-4"/>
              </w:rPr>
              <w:t>签订《土</w:t>
            </w:r>
            <w:r>
              <w:t xml:space="preserve">  </w:t>
            </w:r>
            <w:r>
              <w:rPr>
                <w:spacing w:val="-2"/>
              </w:rPr>
              <w:t>地复垦监管协议》,并按复垦方案测算的复垦费用估算结果足额缴存土地复垦保</w:t>
            </w:r>
            <w:r>
              <w:rPr>
                <w:spacing w:val="6"/>
              </w:rPr>
              <w:t xml:space="preserve">   </w:t>
            </w:r>
            <w:r>
              <w:rPr>
                <w:spacing w:val="-5"/>
              </w:rPr>
              <w:t>证金后，在规定时限内按程序报自然资源主管部门审核备案。若项目性质、规模、</w:t>
            </w:r>
            <w:r>
              <w:rPr>
                <w:spacing w:val="4"/>
              </w:rPr>
              <w:t xml:space="preserve"> </w:t>
            </w:r>
            <w:r>
              <w:rPr>
                <w:spacing w:val="-4"/>
              </w:rPr>
              <w:t>地点、范围或采用的生产工艺等发生重大变化，应在规定时限内对</w:t>
            </w:r>
            <w:r>
              <w:rPr>
                <w:spacing w:val="-5"/>
              </w:rPr>
              <w:t xml:space="preserve">本土地复垦方  </w:t>
            </w:r>
            <w:r>
              <w:rPr>
                <w:spacing w:val="-3"/>
              </w:rPr>
              <w:t>案进行修订或重新编制土地复垦方案，并报原审查的自然资源主管部门审查批准</w:t>
            </w:r>
          </w:p>
          <w:p>
            <w:pPr>
              <w:pStyle w:val="7"/>
              <w:spacing w:line="220" w:lineRule="auto"/>
              <w:ind w:left="110"/>
              <w:rPr>
                <w:rFonts w:hint="eastAsia" w:eastAsia="宋体"/>
                <w:lang w:eastAsia="zh-CN"/>
              </w:rPr>
            </w:pPr>
            <w:r>
              <w:rPr>
                <w:spacing w:val="-2"/>
              </w:rPr>
              <w:t>备案</w:t>
            </w:r>
            <w:r>
              <w:rPr>
                <w:rFonts w:hint="eastAsia"/>
                <w:spacing w:val="-2"/>
                <w:lang w:eastAsia="zh-CN"/>
              </w:rPr>
              <w:t>。</w:t>
            </w:r>
          </w:p>
          <w:p>
            <w:pPr>
              <w:spacing w:line="311" w:lineRule="exact"/>
              <w:ind w:left="3550"/>
            </w:pPr>
          </w:p>
        </w:tc>
      </w:tr>
    </w:tbl>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180" w:lineRule="atLeast"/>
        <w:jc w:val="center"/>
        <w:rPr>
          <w:b/>
          <w:sz w:val="28"/>
          <w:szCs w:val="28"/>
        </w:rPr>
      </w:pPr>
      <w:r>
        <w:rPr>
          <w:rFonts w:hint="eastAsia" w:ascii="Times New Roman" w:hAnsi="Times New Roman" w:eastAsia="宋体" w:cs="Times New Roman"/>
          <w:b/>
          <w:sz w:val="28"/>
          <w:szCs w:val="28"/>
        </w:rPr>
        <w:t>专家组名</w:t>
      </w:r>
      <w:r>
        <w:rPr>
          <w:rFonts w:hint="eastAsia"/>
          <w:b/>
          <w:sz w:val="28"/>
          <w:szCs w:val="28"/>
        </w:rPr>
        <w:t>单表</w:t>
      </w:r>
    </w:p>
    <w:tbl>
      <w:tblPr>
        <w:tblStyle w:val="4"/>
        <w:tblW w:w="88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701"/>
        <w:gridCol w:w="4303"/>
        <w:gridCol w:w="1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101" w:type="dxa"/>
            <w:noWrap w:val="0"/>
            <w:vAlign w:val="center"/>
          </w:tcPr>
          <w:p>
            <w:pPr>
              <w:jc w:val="center"/>
              <w:rPr>
                <w:b/>
                <w:bCs/>
                <w:sz w:val="24"/>
                <w:szCs w:val="24"/>
              </w:rPr>
            </w:pPr>
            <w:r>
              <w:rPr>
                <w:rFonts w:hint="eastAsia"/>
                <w:b/>
                <w:bCs/>
                <w:sz w:val="24"/>
                <w:szCs w:val="24"/>
              </w:rPr>
              <w:t>序号</w:t>
            </w:r>
          </w:p>
        </w:tc>
        <w:tc>
          <w:tcPr>
            <w:tcW w:w="1701" w:type="dxa"/>
            <w:noWrap w:val="0"/>
            <w:vAlign w:val="center"/>
          </w:tcPr>
          <w:p>
            <w:pPr>
              <w:jc w:val="center"/>
              <w:rPr>
                <w:b/>
                <w:bCs/>
                <w:sz w:val="24"/>
                <w:szCs w:val="24"/>
              </w:rPr>
            </w:pPr>
            <w:r>
              <w:rPr>
                <w:rFonts w:hint="eastAsia"/>
                <w:b/>
                <w:bCs/>
                <w:sz w:val="24"/>
                <w:szCs w:val="24"/>
              </w:rPr>
              <w:t>姓名</w:t>
            </w:r>
          </w:p>
        </w:tc>
        <w:tc>
          <w:tcPr>
            <w:tcW w:w="4303" w:type="dxa"/>
            <w:noWrap w:val="0"/>
            <w:vAlign w:val="center"/>
          </w:tcPr>
          <w:p>
            <w:pPr>
              <w:jc w:val="center"/>
              <w:rPr>
                <w:b/>
                <w:bCs/>
                <w:sz w:val="24"/>
                <w:szCs w:val="24"/>
              </w:rPr>
            </w:pPr>
            <w:r>
              <w:rPr>
                <w:rFonts w:hint="eastAsia"/>
                <w:b/>
                <w:bCs/>
                <w:sz w:val="24"/>
                <w:szCs w:val="24"/>
              </w:rPr>
              <w:t>工作单位</w:t>
            </w:r>
          </w:p>
        </w:tc>
        <w:tc>
          <w:tcPr>
            <w:tcW w:w="1748" w:type="dxa"/>
            <w:noWrap w:val="0"/>
            <w:vAlign w:val="center"/>
          </w:tcPr>
          <w:p>
            <w:pPr>
              <w:jc w:val="center"/>
              <w:rPr>
                <w:rFonts w:hint="eastAsia"/>
                <w:b/>
                <w:bCs/>
                <w:sz w:val="24"/>
                <w:szCs w:val="24"/>
                <w:lang w:val="en-US" w:eastAsia="zh-CN"/>
              </w:rPr>
            </w:pPr>
            <w:r>
              <w:rPr>
                <w:rFonts w:hint="eastAsia"/>
                <w:b/>
                <w:bCs/>
                <w:sz w:val="24"/>
                <w:szCs w:val="24"/>
                <w:lang w:val="en-US" w:eastAsia="zh-CN"/>
              </w:rPr>
              <w:t>专业/</w:t>
            </w:r>
          </w:p>
          <w:p>
            <w:pPr>
              <w:jc w:val="center"/>
              <w:rPr>
                <w:b/>
                <w:bCs/>
                <w:sz w:val="24"/>
                <w:szCs w:val="24"/>
              </w:rPr>
            </w:pPr>
            <w:r>
              <w:rPr>
                <w:rFonts w:hint="eastAsia"/>
                <w:b/>
                <w:bCs/>
                <w:sz w:val="24"/>
                <w:szCs w:val="24"/>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101" w:type="dxa"/>
            <w:noWrap w:val="0"/>
            <w:vAlign w:val="top"/>
          </w:tcPr>
          <w:p>
            <w:pPr>
              <w:spacing w:line="400" w:lineRule="exact"/>
              <w:jc w:val="center"/>
              <w:rPr>
                <w:rFonts w:hint="eastAsia" w:eastAsia="宋体"/>
                <w:color w:val="auto"/>
                <w:sz w:val="24"/>
                <w:szCs w:val="24"/>
                <w:lang w:val="en-US" w:eastAsia="zh-CN"/>
              </w:rPr>
            </w:pPr>
            <w:r>
              <w:rPr>
                <w:rFonts w:hint="eastAsia"/>
                <w:color w:val="auto"/>
                <w:sz w:val="24"/>
                <w:szCs w:val="24"/>
                <w:lang w:val="en-US" w:eastAsia="zh-CN"/>
              </w:rPr>
              <w:t>1</w:t>
            </w:r>
          </w:p>
        </w:tc>
        <w:tc>
          <w:tcPr>
            <w:tcW w:w="1701" w:type="dxa"/>
            <w:noWrap w:val="0"/>
            <w:vAlign w:val="center"/>
          </w:tcPr>
          <w:p>
            <w:pPr>
              <w:jc w:val="center"/>
              <w:rPr>
                <w:rFonts w:hint="default" w:ascii="Times New Roman" w:hAnsi="Times New Roman" w:eastAsia="宋体" w:cs="Times New Roman"/>
                <w:sz w:val="24"/>
                <w:szCs w:val="24"/>
                <w:lang w:val="en-US" w:eastAsia="zh-CN"/>
              </w:rPr>
            </w:pPr>
            <w:r>
              <w:rPr>
                <w:rFonts w:hint="eastAsia" w:cs="宋体" w:asciiTheme="majorEastAsia" w:hAnsiTheme="majorEastAsia" w:eastAsiaTheme="majorEastAsia"/>
                <w:color w:val="000000"/>
                <w:kern w:val="0"/>
                <w:sz w:val="24"/>
                <w:szCs w:val="24"/>
              </w:rPr>
              <w:t>朱荣华</w:t>
            </w:r>
          </w:p>
        </w:tc>
        <w:tc>
          <w:tcPr>
            <w:tcW w:w="4303" w:type="dxa"/>
            <w:noWrap w:val="0"/>
            <w:vAlign w:val="center"/>
          </w:tcPr>
          <w:p>
            <w:pPr>
              <w:jc w:val="center"/>
              <w:rPr>
                <w:rFonts w:hint="default" w:ascii="Times New Roman" w:hAnsi="Times New Roman" w:eastAsia="宋体" w:cs="Times New Roman"/>
                <w:sz w:val="24"/>
                <w:szCs w:val="24"/>
                <w:lang w:val="en-US" w:eastAsia="zh-CN"/>
              </w:rPr>
            </w:pPr>
            <w:r>
              <w:rPr>
                <w:rFonts w:hint="eastAsia" w:ascii="宋体" w:hAnsi="宋体" w:eastAsia="宋体" w:cs="宋体"/>
                <w:i w:val="0"/>
                <w:iCs w:val="0"/>
                <w:color w:val="000000"/>
                <w:sz w:val="24"/>
                <w:szCs w:val="24"/>
                <w:u w:val="none"/>
              </w:rPr>
              <w:t>云南南方地勘工程有限公司</w:t>
            </w:r>
          </w:p>
        </w:tc>
        <w:tc>
          <w:tcPr>
            <w:tcW w:w="1748" w:type="dxa"/>
            <w:noWrap w:val="0"/>
            <w:vAlign w:val="center"/>
          </w:tcPr>
          <w:p>
            <w:pPr>
              <w:jc w:val="center"/>
              <w:rPr>
                <w:rFonts w:hint="eastAsia" w:ascii="Times New Roman" w:hAnsi="Times New Roman" w:eastAsia="宋体" w:cs="Times New Roman"/>
                <w:sz w:val="24"/>
                <w:szCs w:val="24"/>
                <w:lang w:val="en-US" w:eastAsia="zh-CN"/>
              </w:rPr>
            </w:pPr>
            <w:r>
              <w:rPr>
                <w:rFonts w:hint="eastAsia" w:ascii="宋体" w:hAnsi="宋体" w:eastAsia="宋体" w:cs="宋体"/>
                <w:i w:val="0"/>
                <w:iCs w:val="0"/>
                <w:color w:val="000000"/>
                <w:sz w:val="24"/>
                <w:szCs w:val="24"/>
                <w:u w:val="none"/>
              </w:rPr>
              <w:t>水文、工程地质</w:t>
            </w:r>
            <w:r>
              <w:rPr>
                <w:rFonts w:hint="eastAsia" w:ascii="宋体" w:hAnsi="宋体" w:eastAsia="宋体" w:cs="宋体"/>
                <w:i w:val="0"/>
                <w:iCs w:val="0"/>
                <w:color w:val="000000"/>
                <w:sz w:val="24"/>
                <w:szCs w:val="24"/>
                <w:u w:val="none"/>
                <w:lang w:val="en-US" w:eastAsia="zh-CN"/>
              </w:rPr>
              <w:t>/</w:t>
            </w:r>
            <w:r>
              <w:rPr>
                <w:rFonts w:hint="eastAsia" w:ascii="Times New Roman" w:hAnsi="Times New Roman" w:eastAsia="宋体" w:cs="Times New Roman"/>
                <w:sz w:val="24"/>
                <w:szCs w:val="24"/>
                <w:lang w:val="en-US" w:eastAsia="zh-CN"/>
              </w:rPr>
              <w:t>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101" w:type="dxa"/>
            <w:noWrap w:val="0"/>
            <w:vAlign w:val="top"/>
          </w:tcPr>
          <w:p>
            <w:pPr>
              <w:spacing w:line="400" w:lineRule="exact"/>
              <w:jc w:val="center"/>
              <w:rPr>
                <w:rFonts w:hint="eastAsia" w:eastAsia="宋体"/>
                <w:color w:val="auto"/>
                <w:sz w:val="24"/>
                <w:szCs w:val="24"/>
                <w:lang w:eastAsia="zh-CN"/>
              </w:rPr>
            </w:pPr>
            <w:r>
              <w:rPr>
                <w:rFonts w:hint="eastAsia"/>
                <w:color w:val="auto"/>
                <w:sz w:val="24"/>
                <w:szCs w:val="24"/>
                <w:lang w:val="en-US" w:eastAsia="zh-CN"/>
              </w:rPr>
              <w:t>2</w:t>
            </w:r>
          </w:p>
        </w:tc>
        <w:tc>
          <w:tcPr>
            <w:tcW w:w="1701" w:type="dxa"/>
            <w:noWrap w:val="0"/>
            <w:vAlign w:val="center"/>
          </w:tcPr>
          <w:p>
            <w:pPr>
              <w:jc w:val="center"/>
              <w:rPr>
                <w:rFonts w:hint="default" w:ascii="Times New Roman" w:hAnsi="Times New Roman" w:eastAsia="宋体" w:cs="Times New Roman"/>
                <w:sz w:val="24"/>
                <w:szCs w:val="24"/>
                <w:lang w:val="en-US"/>
              </w:rPr>
            </w:pPr>
            <w:r>
              <w:rPr>
                <w:rFonts w:hint="eastAsia" w:ascii="宋体" w:hAnsi="宋体" w:eastAsia="宋体" w:cs="宋体"/>
                <w:i w:val="0"/>
                <w:iCs w:val="0"/>
                <w:color w:val="000000"/>
                <w:sz w:val="24"/>
                <w:szCs w:val="24"/>
                <w:u w:val="none"/>
              </w:rPr>
              <w:t>初志中</w:t>
            </w:r>
          </w:p>
        </w:tc>
        <w:tc>
          <w:tcPr>
            <w:tcW w:w="4303" w:type="dxa"/>
            <w:noWrap w:val="0"/>
            <w:vAlign w:val="center"/>
          </w:tcPr>
          <w:p>
            <w:pPr>
              <w:jc w:val="center"/>
              <w:rPr>
                <w:rFonts w:hint="default" w:ascii="Times New Roman" w:hAnsi="Times New Roman" w:eastAsia="宋体" w:cs="Times New Roman"/>
                <w:sz w:val="24"/>
                <w:szCs w:val="24"/>
                <w:lang w:val="en-US" w:eastAsia="zh-CN"/>
              </w:rPr>
            </w:pPr>
            <w:r>
              <w:rPr>
                <w:rFonts w:hint="eastAsia" w:ascii="宋体" w:hAnsi="宋体" w:eastAsia="宋体" w:cs="宋体"/>
                <w:i w:val="0"/>
                <w:iCs w:val="0"/>
                <w:color w:val="000000"/>
                <w:sz w:val="24"/>
                <w:szCs w:val="24"/>
                <w:u w:val="none"/>
              </w:rPr>
              <w:t>大理州水利水电勘测设计研究院</w:t>
            </w:r>
          </w:p>
        </w:tc>
        <w:tc>
          <w:tcPr>
            <w:tcW w:w="1748" w:type="dxa"/>
            <w:noWrap w:val="0"/>
            <w:vAlign w:val="center"/>
          </w:tcPr>
          <w:p>
            <w:pPr>
              <w:jc w:val="center"/>
              <w:rPr>
                <w:rFonts w:hint="eastAsia" w:ascii="Times New Roman" w:hAnsi="Times New Roman" w:eastAsia="宋体" w:cs="Times New Roman"/>
                <w:sz w:val="24"/>
                <w:szCs w:val="24"/>
              </w:rPr>
            </w:pPr>
            <w:r>
              <w:rPr>
                <w:rFonts w:hint="eastAsia" w:ascii="宋体" w:hAnsi="宋体" w:eastAsia="宋体" w:cs="宋体"/>
                <w:i w:val="0"/>
                <w:iCs w:val="0"/>
                <w:color w:val="000000"/>
                <w:sz w:val="24"/>
                <w:szCs w:val="24"/>
                <w:u w:val="none"/>
              </w:rPr>
              <w:t>水保</w:t>
            </w:r>
            <w:r>
              <w:rPr>
                <w:rFonts w:hint="eastAsia" w:ascii="宋体" w:hAnsi="宋体" w:eastAsia="宋体" w:cs="宋体"/>
                <w:i w:val="0"/>
                <w:iCs w:val="0"/>
                <w:color w:val="000000"/>
                <w:sz w:val="24"/>
                <w:szCs w:val="24"/>
                <w:u w:val="none"/>
                <w:lang w:val="en-US" w:eastAsia="zh-CN"/>
              </w:rPr>
              <w:t>/</w:t>
            </w:r>
            <w:r>
              <w:rPr>
                <w:rFonts w:hint="eastAsia" w:ascii="Times New Roman" w:hAnsi="Times New Roman" w:eastAsia="宋体" w:cs="Times New Roman"/>
                <w:sz w:val="24"/>
                <w:szCs w:val="24"/>
                <w:lang w:val="en-US" w:eastAsia="zh-CN"/>
              </w:rPr>
              <w:t>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101" w:type="dxa"/>
            <w:noWrap w:val="0"/>
            <w:vAlign w:val="top"/>
          </w:tcPr>
          <w:p>
            <w:pPr>
              <w:spacing w:line="400" w:lineRule="exact"/>
              <w:jc w:val="center"/>
              <w:rPr>
                <w:rFonts w:hint="eastAsia" w:eastAsia="宋体"/>
                <w:color w:val="auto"/>
                <w:sz w:val="24"/>
                <w:szCs w:val="24"/>
                <w:lang w:eastAsia="zh-CN"/>
              </w:rPr>
            </w:pPr>
            <w:r>
              <w:rPr>
                <w:rFonts w:hint="eastAsia"/>
                <w:color w:val="auto"/>
                <w:sz w:val="24"/>
                <w:szCs w:val="24"/>
                <w:lang w:val="en-US" w:eastAsia="zh-CN"/>
              </w:rPr>
              <w:t>3</w:t>
            </w:r>
          </w:p>
        </w:tc>
        <w:tc>
          <w:tcPr>
            <w:tcW w:w="1701" w:type="dxa"/>
            <w:noWrap w:val="0"/>
            <w:vAlign w:val="center"/>
          </w:tcPr>
          <w:p>
            <w:pPr>
              <w:jc w:val="center"/>
              <w:rPr>
                <w:rFonts w:hint="default" w:ascii="Times New Roman" w:hAnsi="Times New Roman" w:eastAsia="宋体" w:cs="Times New Roman"/>
                <w:sz w:val="24"/>
                <w:szCs w:val="24"/>
                <w:lang w:val="en-US" w:eastAsia="zh-CN"/>
              </w:rPr>
            </w:pPr>
            <w:r>
              <w:rPr>
                <w:rFonts w:hint="eastAsia" w:ascii="宋体" w:hAnsi="宋体" w:eastAsia="宋体" w:cs="宋体"/>
                <w:i w:val="0"/>
                <w:iCs w:val="0"/>
                <w:color w:val="000000"/>
                <w:sz w:val="24"/>
                <w:szCs w:val="24"/>
                <w:u w:val="none"/>
              </w:rPr>
              <w:t>徐士忠</w:t>
            </w:r>
          </w:p>
        </w:tc>
        <w:tc>
          <w:tcPr>
            <w:tcW w:w="4303" w:type="dxa"/>
            <w:noWrap w:val="0"/>
            <w:vAlign w:val="center"/>
          </w:tcPr>
          <w:p>
            <w:pPr>
              <w:jc w:val="center"/>
              <w:rPr>
                <w:rFonts w:hint="default" w:ascii="Times New Roman" w:hAnsi="Times New Roman" w:eastAsia="宋体" w:cs="Times New Roman"/>
                <w:sz w:val="24"/>
                <w:szCs w:val="24"/>
                <w:lang w:val="en-US" w:eastAsia="zh-CN"/>
              </w:rPr>
            </w:pPr>
            <w:r>
              <w:rPr>
                <w:rFonts w:hint="eastAsia" w:ascii="宋体" w:hAnsi="宋体" w:eastAsia="宋体" w:cs="宋体"/>
                <w:i w:val="0"/>
                <w:iCs w:val="0"/>
                <w:color w:val="000000"/>
                <w:sz w:val="24"/>
                <w:szCs w:val="24"/>
                <w:u w:val="none"/>
              </w:rPr>
              <w:t>大理州林业和草原科学研究所</w:t>
            </w:r>
          </w:p>
        </w:tc>
        <w:tc>
          <w:tcPr>
            <w:tcW w:w="1748" w:type="dxa"/>
            <w:noWrap w:val="0"/>
            <w:vAlign w:val="center"/>
          </w:tcPr>
          <w:p>
            <w:pPr>
              <w:jc w:val="center"/>
              <w:rPr>
                <w:rFonts w:hint="eastAsia" w:ascii="Times New Roman" w:hAnsi="Times New Roman" w:eastAsia="宋体" w:cs="Times New Roman"/>
                <w:sz w:val="24"/>
                <w:szCs w:val="24"/>
              </w:rPr>
            </w:pPr>
            <w:r>
              <w:rPr>
                <w:rFonts w:hint="eastAsia" w:ascii="宋体" w:hAnsi="宋体" w:eastAsia="宋体" w:cs="宋体"/>
                <w:i w:val="0"/>
                <w:iCs w:val="0"/>
                <w:color w:val="000000"/>
                <w:sz w:val="24"/>
                <w:szCs w:val="24"/>
                <w:u w:val="none"/>
              </w:rPr>
              <w:t>林业</w:t>
            </w:r>
            <w:r>
              <w:rPr>
                <w:rFonts w:hint="eastAsia" w:ascii="宋体" w:hAnsi="宋体" w:eastAsia="宋体" w:cs="宋体"/>
                <w:i w:val="0"/>
                <w:iCs w:val="0"/>
                <w:color w:val="000000"/>
                <w:sz w:val="24"/>
                <w:szCs w:val="24"/>
                <w:u w:val="none"/>
                <w:lang w:val="en-US" w:eastAsia="zh-CN"/>
              </w:rPr>
              <w:t>/</w:t>
            </w:r>
            <w:r>
              <w:rPr>
                <w:rFonts w:hint="eastAsia" w:ascii="Times New Roman" w:hAnsi="Times New Roman" w:eastAsia="宋体" w:cs="Times New Roman"/>
                <w:sz w:val="24"/>
                <w:szCs w:val="24"/>
                <w:lang w:val="en-US" w:eastAsia="zh-CN"/>
              </w:rPr>
              <w:t>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101" w:type="dxa"/>
            <w:noWrap w:val="0"/>
            <w:vAlign w:val="top"/>
          </w:tcPr>
          <w:p>
            <w:pPr>
              <w:spacing w:line="400" w:lineRule="exact"/>
              <w:jc w:val="center"/>
              <w:rPr>
                <w:color w:val="auto"/>
                <w:sz w:val="24"/>
                <w:szCs w:val="24"/>
              </w:rPr>
            </w:pPr>
            <w:r>
              <w:rPr>
                <w:rFonts w:hint="eastAsia"/>
                <w:color w:val="auto"/>
                <w:sz w:val="24"/>
                <w:szCs w:val="24"/>
              </w:rPr>
              <w:t>4</w:t>
            </w:r>
          </w:p>
        </w:tc>
        <w:tc>
          <w:tcPr>
            <w:tcW w:w="1701" w:type="dxa"/>
            <w:noWrap w:val="0"/>
            <w:vAlign w:val="center"/>
          </w:tcPr>
          <w:p>
            <w:pPr>
              <w:jc w:val="center"/>
              <w:rPr>
                <w:rFonts w:hint="eastAsia" w:ascii="Times New Roman" w:hAnsi="Times New Roman" w:eastAsia="宋体" w:cs="Times New Roman"/>
                <w:sz w:val="24"/>
                <w:szCs w:val="24"/>
                <w:lang w:val="en-US" w:eastAsia="zh-CN"/>
              </w:rPr>
            </w:pPr>
            <w:r>
              <w:rPr>
                <w:rFonts w:hint="eastAsia" w:ascii="宋体" w:hAnsi="宋体" w:eastAsia="宋体" w:cs="宋体"/>
                <w:i w:val="0"/>
                <w:iCs w:val="0"/>
                <w:color w:val="000000"/>
                <w:sz w:val="24"/>
                <w:szCs w:val="24"/>
                <w:u w:val="none"/>
              </w:rPr>
              <w:t>杨理芳</w:t>
            </w:r>
          </w:p>
        </w:tc>
        <w:tc>
          <w:tcPr>
            <w:tcW w:w="4303" w:type="dxa"/>
            <w:noWrap w:val="0"/>
            <w:vAlign w:val="center"/>
          </w:tcPr>
          <w:p>
            <w:pPr>
              <w:jc w:val="center"/>
              <w:rPr>
                <w:rFonts w:hint="eastAsia" w:ascii="Times New Roman" w:hAnsi="Times New Roman" w:eastAsia="宋体" w:cs="Times New Roman"/>
                <w:sz w:val="24"/>
                <w:szCs w:val="24"/>
              </w:rPr>
            </w:pPr>
            <w:r>
              <w:rPr>
                <w:rFonts w:hint="eastAsia" w:ascii="宋体" w:hAnsi="宋体" w:eastAsia="宋体" w:cs="宋体"/>
                <w:i w:val="0"/>
                <w:iCs w:val="0"/>
                <w:color w:val="000000"/>
                <w:sz w:val="24"/>
                <w:szCs w:val="24"/>
                <w:u w:val="none"/>
              </w:rPr>
              <w:t>大理州农业</w:t>
            </w:r>
            <w:r>
              <w:rPr>
                <w:rFonts w:hint="eastAsia" w:ascii="宋体" w:hAnsi="宋体" w:eastAsia="宋体" w:cs="宋体"/>
                <w:i w:val="0"/>
                <w:iCs w:val="0"/>
                <w:color w:val="000000"/>
                <w:sz w:val="24"/>
                <w:szCs w:val="24"/>
                <w:u w:val="none"/>
                <w:lang w:val="en-US" w:eastAsia="zh-CN"/>
              </w:rPr>
              <w:t>农村系统</w:t>
            </w:r>
          </w:p>
        </w:tc>
        <w:tc>
          <w:tcPr>
            <w:tcW w:w="1748" w:type="dxa"/>
            <w:noWrap w:val="0"/>
            <w:vAlign w:val="center"/>
          </w:tcPr>
          <w:p>
            <w:pPr>
              <w:jc w:val="center"/>
              <w:rPr>
                <w:rFonts w:hint="eastAsia" w:ascii="Times New Roman" w:hAnsi="Times New Roman" w:eastAsia="宋体" w:cs="Times New Roman"/>
                <w:sz w:val="24"/>
                <w:szCs w:val="24"/>
                <w:lang w:eastAsia="zh-CN"/>
              </w:rPr>
            </w:pPr>
            <w:r>
              <w:rPr>
                <w:rFonts w:hint="eastAsia" w:ascii="宋体" w:hAnsi="宋体" w:eastAsia="宋体" w:cs="宋体"/>
                <w:i w:val="0"/>
                <w:iCs w:val="0"/>
                <w:color w:val="000000"/>
                <w:sz w:val="24"/>
                <w:szCs w:val="24"/>
                <w:u w:val="none"/>
              </w:rPr>
              <w:t>农业</w:t>
            </w:r>
            <w:r>
              <w:rPr>
                <w:rFonts w:hint="eastAsia" w:ascii="宋体" w:hAnsi="宋体" w:eastAsia="宋体" w:cs="宋体"/>
                <w:i w:val="0"/>
                <w:iCs w:val="0"/>
                <w:color w:val="000000"/>
                <w:sz w:val="24"/>
                <w:szCs w:val="24"/>
                <w:u w:val="none"/>
                <w:lang w:val="en-US" w:eastAsia="zh-CN"/>
              </w:rPr>
              <w:t>/</w:t>
            </w:r>
            <w:r>
              <w:rPr>
                <w:rFonts w:hint="eastAsia" w:ascii="宋体" w:hAnsi="宋体" w:eastAsia="宋体" w:cs="宋体"/>
                <w:i w:val="0"/>
                <w:iCs w:val="0"/>
                <w:color w:val="000000"/>
                <w:sz w:val="24"/>
                <w:szCs w:val="24"/>
                <w:u w:val="none"/>
              </w:rPr>
              <w:t>农业推广研究</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101" w:type="dxa"/>
            <w:noWrap w:val="0"/>
            <w:vAlign w:val="top"/>
          </w:tcPr>
          <w:p>
            <w:pPr>
              <w:spacing w:line="400" w:lineRule="exact"/>
              <w:jc w:val="center"/>
              <w:rPr>
                <w:color w:val="auto"/>
                <w:sz w:val="24"/>
                <w:szCs w:val="24"/>
              </w:rPr>
            </w:pPr>
            <w:r>
              <w:rPr>
                <w:rFonts w:hint="eastAsia"/>
                <w:color w:val="auto"/>
                <w:sz w:val="24"/>
                <w:szCs w:val="24"/>
              </w:rPr>
              <w:t>5</w:t>
            </w:r>
          </w:p>
        </w:tc>
        <w:tc>
          <w:tcPr>
            <w:tcW w:w="1701" w:type="dxa"/>
            <w:noWrap w:val="0"/>
            <w:vAlign w:val="center"/>
          </w:tcPr>
          <w:p>
            <w:pPr>
              <w:jc w:val="center"/>
              <w:rPr>
                <w:rFonts w:hint="default" w:ascii="Times New Roman" w:hAnsi="Times New Roman" w:eastAsia="宋体" w:cs="Times New Roman"/>
                <w:color w:val="auto"/>
                <w:sz w:val="24"/>
                <w:szCs w:val="24"/>
                <w:lang w:val="en-US" w:eastAsia="zh-CN"/>
              </w:rPr>
            </w:pPr>
            <w:r>
              <w:rPr>
                <w:rFonts w:hint="eastAsia" w:ascii="宋体" w:hAnsi="宋体" w:eastAsia="宋体" w:cs="宋体"/>
                <w:i w:val="0"/>
                <w:iCs w:val="0"/>
                <w:color w:val="000000"/>
                <w:sz w:val="24"/>
                <w:szCs w:val="24"/>
                <w:u w:val="none"/>
              </w:rPr>
              <w:t>马丽琴</w:t>
            </w:r>
          </w:p>
        </w:tc>
        <w:tc>
          <w:tcPr>
            <w:tcW w:w="4303" w:type="dxa"/>
            <w:noWrap w:val="0"/>
            <w:vAlign w:val="center"/>
          </w:tcPr>
          <w:p>
            <w:pPr>
              <w:jc w:val="center"/>
              <w:rPr>
                <w:rFonts w:hint="default" w:ascii="Times New Roman" w:hAnsi="Times New Roman" w:eastAsia="宋体" w:cs="Times New Roman"/>
                <w:color w:val="auto"/>
                <w:sz w:val="24"/>
                <w:szCs w:val="24"/>
                <w:highlight w:val="none"/>
                <w:lang w:val="en-US" w:eastAsia="zh-CN"/>
              </w:rPr>
            </w:pPr>
            <w:r>
              <w:rPr>
                <w:rFonts w:hint="eastAsia" w:ascii="宋体" w:hAnsi="宋体" w:eastAsia="宋体" w:cs="宋体"/>
                <w:i w:val="0"/>
                <w:iCs w:val="0"/>
                <w:color w:val="000000"/>
                <w:sz w:val="24"/>
                <w:szCs w:val="24"/>
                <w:u w:val="none"/>
              </w:rPr>
              <w:t>大理州水利水电勘测设计研究院</w:t>
            </w:r>
          </w:p>
        </w:tc>
        <w:tc>
          <w:tcPr>
            <w:tcW w:w="1748" w:type="dxa"/>
            <w:noWrap w:val="0"/>
            <w:vAlign w:val="center"/>
          </w:tcPr>
          <w:p>
            <w:pPr>
              <w:jc w:val="center"/>
              <w:rPr>
                <w:rFonts w:hint="default" w:ascii="Times New Roman" w:hAnsi="Times New Roman" w:eastAsia="宋体" w:cs="Times New Roman"/>
                <w:color w:val="auto"/>
                <w:sz w:val="24"/>
                <w:szCs w:val="24"/>
                <w:highlight w:val="none"/>
                <w:lang w:val="en-US" w:eastAsia="zh-CN"/>
              </w:rPr>
            </w:pPr>
            <w:r>
              <w:rPr>
                <w:rFonts w:hint="eastAsia" w:ascii="宋体" w:hAnsi="宋体" w:eastAsia="宋体" w:cs="宋体"/>
                <w:i w:val="0"/>
                <w:iCs w:val="0"/>
                <w:color w:val="000000"/>
                <w:sz w:val="24"/>
                <w:szCs w:val="24"/>
                <w:u w:val="none"/>
              </w:rPr>
              <w:t>经济</w:t>
            </w:r>
            <w:r>
              <w:rPr>
                <w:rFonts w:hint="eastAsia" w:ascii="宋体" w:hAnsi="宋体" w:eastAsia="宋体" w:cs="宋体"/>
                <w:i w:val="0"/>
                <w:iCs w:val="0"/>
                <w:color w:val="000000"/>
                <w:sz w:val="24"/>
                <w:szCs w:val="24"/>
                <w:u w:val="none"/>
                <w:lang w:val="en-US" w:eastAsia="zh-CN"/>
              </w:rPr>
              <w:t>/</w:t>
            </w:r>
            <w:r>
              <w:rPr>
                <w:rFonts w:hint="eastAsia" w:ascii="Times New Roman" w:hAnsi="Times New Roman" w:eastAsia="宋体" w:cs="Times New Roman"/>
                <w:sz w:val="24"/>
                <w:szCs w:val="24"/>
                <w:lang w:val="en-US" w:eastAsia="zh-CN"/>
              </w:rPr>
              <w:t>高工</w:t>
            </w:r>
          </w:p>
        </w:tc>
      </w:tr>
    </w:tbl>
    <w:p>
      <w:pPr>
        <w:rPr>
          <w:rFonts w:ascii="Arial"/>
          <w:sz w:val="21"/>
        </w:rPr>
      </w:pPr>
    </w:p>
    <w:sectPr>
      <w:pgSz w:w="11910" w:h="16840"/>
      <w:pgMar w:top="1124" w:right="1413" w:bottom="0" w:left="1524"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175E64F6"/>
    <w:rsid w:val="6BD95B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customStyle="1" w:styleId="6">
    <w:name w:val="Table Normal"/>
    <w:semiHidden/>
    <w:unhideWhenUsed/>
    <w:qFormat/>
    <w:uiPriority w:val="0"/>
    <w:tblPr>
      <w:tblCellMar>
        <w:top w:w="0" w:type="dxa"/>
        <w:left w:w="0" w:type="dxa"/>
        <w:bottom w:w="0" w:type="dxa"/>
        <w:right w:w="0" w:type="dxa"/>
      </w:tblCellMar>
    </w:tblPr>
  </w:style>
  <w:style w:type="paragraph" w:customStyle="1" w:styleId="7">
    <w:name w:val="Table Text"/>
    <w:basedOn w:val="1"/>
    <w:semiHidden/>
    <w:qFormat/>
    <w:uiPriority w:val="0"/>
    <w:rPr>
      <w:rFonts w:ascii="宋体" w:hAnsi="宋体" w:eastAsia="宋体" w:cs="宋体"/>
      <w:sz w:val="24"/>
      <w:szCs w:val="24"/>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Office_11.8.6.11825_F1E327BC-269C-435d-A152-05C5408002CA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2024-01-29T15:20:00Z</dcterms:created>
  <dc:creator>Kingsoft-PDF</dc:creator>
  <cp:lastModifiedBy>CM3988</cp:lastModifiedBy>
  <dcterms:modified xsi:type="dcterms:W3CDTF">2024-01-29T08:21:28Z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2024-01-29T15:20:13Z</vt:filetime>
  </property>
  <property fmtid="{D5CDD505-2E9C-101B-9397-08002B2CF9AE}" pid="4" name="UsrData">
    <vt:lpwstr>65b751a9a507ba001f63d875wl</vt:lpwstr>
  </property>
  <property fmtid="{D5CDD505-2E9C-101B-9397-08002B2CF9AE}" pid="5" name="KSOProductBuildVer">
    <vt:lpwstr>2052-11.8.6.11825</vt:lpwstr>
  </property>
  <property fmtid="{D5CDD505-2E9C-101B-9397-08002B2CF9AE}" pid="6" name="ICV">
    <vt:lpwstr>D2AB39696A434B8EB8DD32D89BAEC9F2</vt:lpwstr>
  </property>
</Properties>
</file>