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0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5"/>
        <w:gridCol w:w="915"/>
        <w:gridCol w:w="1005"/>
        <w:gridCol w:w="8758"/>
        <w:gridCol w:w="1460"/>
        <w:gridCol w:w="837"/>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jc w:val="center"/>
        </w:trPr>
        <w:tc>
          <w:tcPr>
            <w:tcW w:w="15034" w:type="dxa"/>
            <w:gridSpan w:val="7"/>
            <w:tcBorders>
              <w:bottom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beforeLines="50" w:afterLines="50" w:line="520" w:lineRule="exact"/>
              <w:jc w:val="both"/>
              <w:textAlignment w:val="auto"/>
              <w:outlineLvl w:val="0"/>
              <w:rPr>
                <w:rFonts w:hint="eastAsia" w:ascii="宋体" w:hAnsi="宋体" w:eastAsia="方正黑体_GBK" w:cs="方正黑体_GBK"/>
                <w:bCs/>
                <w:i w:val="0"/>
                <w:color w:val="auto"/>
                <w:kern w:val="0"/>
                <w:sz w:val="32"/>
                <w:szCs w:val="32"/>
                <w:u w:val="none"/>
                <w:lang w:val="en-US" w:eastAsia="zh-CN" w:bidi="ar"/>
              </w:rPr>
            </w:pPr>
            <w:r>
              <w:rPr>
                <w:rFonts w:hint="eastAsia" w:ascii="宋体" w:hAnsi="宋体" w:eastAsia="方正黑体_GBK" w:cs="方正黑体_GBK"/>
                <w:bCs/>
                <w:i w:val="0"/>
                <w:color w:val="auto"/>
                <w:kern w:val="0"/>
                <w:sz w:val="32"/>
                <w:szCs w:val="32"/>
                <w:u w:val="none"/>
                <w:lang w:val="en-US" w:eastAsia="zh-CN" w:bidi="ar"/>
              </w:rPr>
              <w:t>附件</w:t>
            </w:r>
          </w:p>
          <w:p>
            <w:pPr>
              <w:keepNext/>
              <w:keepLines/>
              <w:pageBreakBefore w:val="0"/>
              <w:widowControl w:val="0"/>
              <w:kinsoku/>
              <w:wordWrap/>
              <w:overflowPunct/>
              <w:topLinePunct w:val="0"/>
              <w:autoSpaceDE/>
              <w:autoSpaceDN/>
              <w:bidi w:val="0"/>
              <w:adjustRightInd/>
              <w:snapToGrid/>
              <w:spacing w:beforeLines="50" w:afterLines="50" w:line="520" w:lineRule="exact"/>
              <w:jc w:val="center"/>
              <w:textAlignment w:val="auto"/>
              <w:outlineLvl w:val="0"/>
              <w:rPr>
                <w:rFonts w:hint="default" w:ascii="宋体" w:hAnsi="宋体" w:eastAsia="方正小标宋_GBK" w:cs="Times New Roman"/>
                <w:bCs/>
                <w:i w:val="0"/>
                <w:color w:val="auto"/>
                <w:kern w:val="44"/>
                <w:sz w:val="40"/>
                <w:szCs w:val="40"/>
                <w:u w:val="none"/>
                <w:lang w:val="en-US" w:eastAsia="zh-CN" w:bidi="ar-SA"/>
              </w:rPr>
            </w:pPr>
            <w:r>
              <w:rPr>
                <w:rFonts w:hint="eastAsia" w:ascii="宋体" w:hAnsi="宋体" w:eastAsia="方正小标宋_GBK" w:cs="Times New Roman"/>
                <w:bCs/>
                <w:i w:val="0"/>
                <w:color w:val="auto"/>
                <w:kern w:val="0"/>
                <w:sz w:val="40"/>
                <w:szCs w:val="40"/>
                <w:u w:val="none"/>
                <w:lang w:val="en-US" w:eastAsia="zh-CN" w:bidi="ar"/>
              </w:rPr>
              <w:t>大理州</w:t>
            </w:r>
            <w:r>
              <w:rPr>
                <w:rFonts w:hint="default" w:ascii="宋体" w:hAnsi="宋体" w:eastAsia="方正小标宋_GBK" w:cs="Times New Roman"/>
                <w:bCs/>
                <w:i w:val="0"/>
                <w:color w:val="auto"/>
                <w:kern w:val="0"/>
                <w:sz w:val="40"/>
                <w:szCs w:val="40"/>
                <w:u w:val="none"/>
                <w:lang w:val="en-US" w:eastAsia="zh-CN" w:bidi="ar"/>
              </w:rPr>
              <w:t>加强医疗保障基金使用常态化监督管理若干措施</w:t>
            </w:r>
            <w:r>
              <w:rPr>
                <w:rFonts w:hint="eastAsia" w:ascii="宋体" w:hAnsi="宋体" w:eastAsia="方正小标宋_GBK" w:cs="Times New Roman"/>
                <w:bCs/>
                <w:i w:val="0"/>
                <w:color w:val="auto"/>
                <w:kern w:val="0"/>
                <w:sz w:val="40"/>
                <w:szCs w:val="40"/>
                <w:u w:val="none"/>
                <w:lang w:val="en-US" w:eastAsia="zh-CN" w:bidi="ar"/>
              </w:rPr>
              <w:t>任务</w:t>
            </w:r>
            <w:r>
              <w:rPr>
                <w:rFonts w:hint="default" w:ascii="宋体" w:hAnsi="宋体" w:eastAsia="方正小标宋_GBK" w:cs="Times New Roman"/>
                <w:bCs/>
                <w:i w:val="0"/>
                <w:color w:val="auto"/>
                <w:kern w:val="0"/>
                <w:sz w:val="40"/>
                <w:szCs w:val="40"/>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b w:val="0"/>
                <w:bCs w:val="0"/>
                <w:i w:val="0"/>
                <w:color w:val="auto"/>
                <w:sz w:val="24"/>
                <w:szCs w:val="24"/>
                <w:u w:val="none"/>
              </w:rPr>
            </w:pPr>
            <w:r>
              <w:rPr>
                <w:rFonts w:hint="eastAsia" w:ascii="宋体" w:hAnsi="宋体" w:eastAsia="方正黑体_GBK" w:cs="方正黑体_GBK"/>
                <w:b w:val="0"/>
                <w:bCs w:val="0"/>
                <w:i w:val="0"/>
                <w:color w:val="auto"/>
                <w:kern w:val="0"/>
                <w:sz w:val="24"/>
                <w:szCs w:val="24"/>
                <w:u w:val="none"/>
                <w:lang w:val="en-US" w:eastAsia="zh-CN" w:bidi="ar"/>
              </w:rPr>
              <w:t>序号</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b w:val="0"/>
                <w:bCs w:val="0"/>
                <w:i w:val="0"/>
                <w:color w:val="auto"/>
                <w:kern w:val="0"/>
                <w:sz w:val="24"/>
                <w:szCs w:val="24"/>
                <w:u w:val="none"/>
                <w:lang w:val="en-US" w:eastAsia="zh-CN" w:bidi="ar"/>
              </w:rPr>
            </w:pPr>
            <w:r>
              <w:rPr>
                <w:rFonts w:hint="eastAsia" w:ascii="宋体" w:hAnsi="宋体" w:eastAsia="方正黑体_GBK" w:cs="方正黑体_GBK"/>
                <w:b w:val="0"/>
                <w:bCs w:val="0"/>
                <w:i w:val="0"/>
                <w:color w:val="auto"/>
                <w:kern w:val="0"/>
                <w:sz w:val="24"/>
                <w:szCs w:val="24"/>
                <w:u w:val="none"/>
                <w:lang w:val="en-US" w:eastAsia="zh-CN" w:bidi="ar"/>
              </w:rPr>
              <w:t>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b w:val="0"/>
                <w:bCs w:val="0"/>
                <w:i w:val="0"/>
                <w:color w:val="auto"/>
                <w:sz w:val="24"/>
                <w:szCs w:val="24"/>
                <w:u w:val="none"/>
              </w:rPr>
            </w:pPr>
            <w:r>
              <w:rPr>
                <w:rFonts w:hint="eastAsia" w:ascii="宋体" w:hAnsi="宋体" w:eastAsia="方正黑体_GBK" w:cs="方正黑体_GBK"/>
                <w:b w:val="0"/>
                <w:bCs w:val="0"/>
                <w:i w:val="0"/>
                <w:color w:val="auto"/>
                <w:kern w:val="0"/>
                <w:sz w:val="24"/>
                <w:szCs w:val="24"/>
                <w:u w:val="none"/>
                <w:lang w:val="en-US" w:eastAsia="zh-CN" w:bidi="ar"/>
              </w:rPr>
              <w:t>目标</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b w:val="0"/>
                <w:bCs w:val="0"/>
                <w:i w:val="0"/>
                <w:color w:val="auto"/>
                <w:kern w:val="0"/>
                <w:sz w:val="24"/>
                <w:szCs w:val="24"/>
                <w:u w:val="none"/>
                <w:lang w:val="en-US" w:eastAsia="zh-CN" w:bidi="ar"/>
              </w:rPr>
            </w:pPr>
            <w:r>
              <w:rPr>
                <w:rFonts w:hint="eastAsia" w:ascii="宋体" w:hAnsi="宋体" w:eastAsia="方正黑体_GBK" w:cs="方正黑体_GBK"/>
                <w:b w:val="0"/>
                <w:bCs w:val="0"/>
                <w:i w:val="0"/>
                <w:color w:val="auto"/>
                <w:kern w:val="0"/>
                <w:sz w:val="24"/>
                <w:szCs w:val="24"/>
                <w:u w:val="none"/>
                <w:lang w:val="en-US" w:eastAsia="zh-CN" w:bidi="ar"/>
              </w:rPr>
              <w:t>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b w:val="0"/>
                <w:bCs w:val="0"/>
                <w:i w:val="0"/>
                <w:color w:val="auto"/>
                <w:sz w:val="24"/>
                <w:szCs w:val="24"/>
                <w:u w:val="none"/>
              </w:rPr>
            </w:pPr>
            <w:r>
              <w:rPr>
                <w:rFonts w:hint="eastAsia" w:ascii="宋体" w:hAnsi="宋体" w:eastAsia="方正黑体_GBK" w:cs="方正黑体_GBK"/>
                <w:b w:val="0"/>
                <w:bCs w:val="0"/>
                <w:i w:val="0"/>
                <w:color w:val="auto"/>
                <w:kern w:val="0"/>
                <w:sz w:val="24"/>
                <w:szCs w:val="24"/>
                <w:u w:val="none"/>
                <w:lang w:val="en-US" w:eastAsia="zh-CN" w:bidi="ar"/>
              </w:rPr>
              <w:t>任务</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b w:val="0"/>
                <w:bCs w:val="0"/>
                <w:i w:val="0"/>
                <w:color w:val="auto"/>
                <w:sz w:val="24"/>
                <w:szCs w:val="24"/>
                <w:u w:val="none"/>
              </w:rPr>
            </w:pPr>
            <w:r>
              <w:rPr>
                <w:rFonts w:hint="eastAsia" w:ascii="宋体" w:hAnsi="宋体" w:eastAsia="方正黑体_GBK" w:cs="方正黑体_GBK"/>
                <w:b w:val="0"/>
                <w:bCs w:val="0"/>
                <w:i w:val="0"/>
                <w:color w:val="auto"/>
                <w:kern w:val="0"/>
                <w:sz w:val="24"/>
                <w:szCs w:val="24"/>
                <w:u w:val="none"/>
                <w:lang w:val="en-US" w:eastAsia="zh-CN" w:bidi="ar"/>
              </w:rPr>
              <w:t>工作措施</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b w:val="0"/>
                <w:bCs w:val="0"/>
                <w:i w:val="0"/>
                <w:color w:val="auto"/>
                <w:kern w:val="0"/>
                <w:sz w:val="24"/>
                <w:szCs w:val="24"/>
                <w:u w:val="none"/>
                <w:lang w:val="en-US" w:eastAsia="zh-CN" w:bidi="ar"/>
              </w:rPr>
            </w:pPr>
            <w:r>
              <w:rPr>
                <w:rFonts w:hint="eastAsia" w:ascii="宋体" w:hAnsi="宋体" w:eastAsia="方正黑体_GBK" w:cs="方正黑体_GBK"/>
                <w:b w:val="0"/>
                <w:bCs w:val="0"/>
                <w:i w:val="0"/>
                <w:color w:val="auto"/>
                <w:kern w:val="0"/>
                <w:sz w:val="24"/>
                <w:szCs w:val="24"/>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b w:val="0"/>
                <w:bCs w:val="0"/>
                <w:i w:val="0"/>
                <w:color w:val="auto"/>
                <w:sz w:val="24"/>
                <w:szCs w:val="24"/>
                <w:u w:val="none"/>
              </w:rPr>
            </w:pPr>
            <w:r>
              <w:rPr>
                <w:rFonts w:hint="eastAsia" w:ascii="宋体" w:hAnsi="宋体" w:eastAsia="方正黑体_GBK" w:cs="方正黑体_GBK"/>
                <w:b w:val="0"/>
                <w:bCs w:val="0"/>
                <w:i w:val="0"/>
                <w:color w:val="auto"/>
                <w:kern w:val="0"/>
                <w:sz w:val="24"/>
                <w:szCs w:val="24"/>
                <w:u w:val="none"/>
                <w:lang w:val="en-US" w:eastAsia="zh-CN" w:bidi="ar"/>
              </w:rPr>
              <w:t>部门</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b w:val="0"/>
                <w:bCs w:val="0"/>
                <w:i w:val="0"/>
                <w:color w:val="auto"/>
                <w:kern w:val="0"/>
                <w:sz w:val="24"/>
                <w:szCs w:val="24"/>
                <w:u w:val="none"/>
                <w:lang w:val="en-US" w:eastAsia="zh-CN" w:bidi="ar"/>
              </w:rPr>
            </w:pPr>
            <w:r>
              <w:rPr>
                <w:rFonts w:hint="eastAsia" w:ascii="宋体" w:hAnsi="宋体" w:eastAsia="方正黑体_GBK" w:cs="方正黑体_GBK"/>
                <w:b w:val="0"/>
                <w:bCs w:val="0"/>
                <w:i w:val="0"/>
                <w:color w:val="auto"/>
                <w:kern w:val="0"/>
                <w:sz w:val="24"/>
                <w:szCs w:val="24"/>
                <w:u w:val="none"/>
                <w:lang w:val="en-US" w:eastAsia="zh-CN" w:bidi="ar"/>
              </w:rPr>
              <w:t>责任</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b w:val="0"/>
                <w:bCs w:val="0"/>
                <w:i w:val="0"/>
                <w:color w:val="auto"/>
                <w:sz w:val="24"/>
                <w:szCs w:val="24"/>
                <w:u w:val="none"/>
              </w:rPr>
            </w:pPr>
            <w:r>
              <w:rPr>
                <w:rFonts w:hint="eastAsia" w:ascii="宋体" w:hAnsi="宋体" w:eastAsia="方正黑体_GBK" w:cs="方正黑体_GBK"/>
                <w:b w:val="0"/>
                <w:bCs w:val="0"/>
                <w:i w:val="0"/>
                <w:color w:val="auto"/>
                <w:kern w:val="0"/>
                <w:sz w:val="24"/>
                <w:szCs w:val="24"/>
                <w:u w:val="none"/>
                <w:lang w:val="en-US" w:eastAsia="zh-CN" w:bidi="ar"/>
              </w:rPr>
              <w:t>部门</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b w:val="0"/>
                <w:bCs w:val="0"/>
                <w:i w:val="0"/>
                <w:color w:val="auto"/>
                <w:kern w:val="0"/>
                <w:sz w:val="24"/>
                <w:szCs w:val="24"/>
                <w:u w:val="none"/>
                <w:lang w:val="en-US" w:eastAsia="zh-CN" w:bidi="ar"/>
              </w:rPr>
            </w:pPr>
            <w:r>
              <w:rPr>
                <w:rFonts w:hint="eastAsia" w:ascii="宋体" w:hAnsi="宋体" w:eastAsia="方正黑体_GBK" w:cs="方正黑体_GBK"/>
                <w:b w:val="0"/>
                <w:bCs w:val="0"/>
                <w:i w:val="0"/>
                <w:color w:val="auto"/>
                <w:kern w:val="0"/>
                <w:sz w:val="24"/>
                <w:szCs w:val="24"/>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b w:val="0"/>
                <w:bCs w:val="0"/>
                <w:i w:val="0"/>
                <w:color w:val="auto"/>
                <w:kern w:val="0"/>
                <w:sz w:val="24"/>
                <w:szCs w:val="24"/>
                <w:u w:val="none"/>
                <w:lang w:val="en-US" w:eastAsia="zh-CN" w:bidi="ar"/>
              </w:rPr>
            </w:pPr>
            <w:r>
              <w:rPr>
                <w:rFonts w:hint="eastAsia" w:ascii="宋体" w:hAnsi="宋体" w:eastAsia="方正黑体_GBK" w:cs="方正黑体_GBK"/>
                <w:b w:val="0"/>
                <w:bCs w:val="0"/>
                <w:i w:val="0"/>
                <w:color w:val="auto"/>
                <w:kern w:val="0"/>
                <w:sz w:val="24"/>
                <w:szCs w:val="24"/>
                <w:u w:val="none"/>
                <w:lang w:val="en-US" w:eastAsia="zh-CN" w:bidi="ar"/>
              </w:rPr>
              <w:t>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1</w:t>
            </w:r>
          </w:p>
        </w:tc>
        <w:tc>
          <w:tcPr>
            <w:tcW w:w="9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一、加强监管制度体系建设</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（一）完善医保基金监管内部监督制度</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1.加强对从事医保行政执法、现场检查等基金监管关键岗位人员监督，落实领导干部干预医保领域行政执法活动、插手具体案件处理的记录和责任追究办法，防止出现内外勾结、权</w:t>
            </w:r>
            <w:r>
              <w:rPr>
                <w:rFonts w:hint="eastAsia" w:ascii="宋体" w:hAnsi="宋体" w:eastAsia="方正仿宋_GBK" w:cs="Times New Roman"/>
                <w:b w:val="0"/>
                <w:bCs w:val="0"/>
                <w:i w:val="0"/>
                <w:color w:val="auto"/>
                <w:kern w:val="0"/>
                <w:sz w:val="22"/>
                <w:szCs w:val="22"/>
                <w:u w:val="none"/>
                <w:lang w:val="en-US" w:eastAsia="zh-CN" w:bidi="ar"/>
              </w:rPr>
              <w:t>力</w:t>
            </w:r>
            <w:bookmarkStart w:id="0" w:name="_GoBack"/>
            <w:bookmarkEnd w:id="0"/>
            <w:r>
              <w:rPr>
                <w:rFonts w:hint="default" w:ascii="宋体" w:hAnsi="宋体" w:eastAsia="方正仿宋_GBK" w:cs="Times New Roman"/>
                <w:b w:val="0"/>
                <w:bCs w:val="0"/>
                <w:i w:val="0"/>
                <w:color w:val="auto"/>
                <w:kern w:val="0"/>
                <w:sz w:val="22"/>
                <w:szCs w:val="22"/>
                <w:u w:val="none"/>
                <w:lang w:val="en-US" w:eastAsia="zh-CN" w:bidi="ar"/>
              </w:rPr>
              <w:t xml:space="preserve">寻租等腐败行为。 </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2.建立健全医保经办业务、财务、安全和风险管理制度，对待遇认定、稽核审核、结算拨付、定点纳入等关键岗位按不相容岗位分开设置，加强内部全流程管理和监督。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相关制度按省级文件要求执行；其他措施2024年底有明显成效，并长期坚持。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8"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2</w:t>
            </w:r>
          </w:p>
        </w:tc>
        <w:tc>
          <w:tcPr>
            <w:tcW w:w="9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（二）建立定点医药机构自查自纠机制</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 xml:space="preserve">1.定点医药机构要加强医药服务管理，做好就诊患者和购药人员医保身份核验、医保目录适用认定、记录、检查检验报告存档、如实上传医保结算信息等工作。         </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 xml:space="preserve">2.医保部门要结合飞行检查、日常监管、智能监控发现的典型违法违规使用医保基金行为，梳理形成定点医药机构医保基金使用负面清单并动态更新。                  </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3.对定点医药机构自查自纠发现问题，及时主动退回医保基金，并依法依规做好后续处理。</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2024年底有明显成效，并长期坚持。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3"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3</w:t>
            </w:r>
          </w:p>
        </w:tc>
        <w:tc>
          <w:tcPr>
            <w:tcW w:w="9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（三）完善多层次监管制度机制</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eastAsia" w:ascii="宋体" w:hAnsi="宋体" w:eastAsia="方正仿宋_GBK" w:cs="Times New Roman"/>
                <w:b w:val="0"/>
                <w:bCs w:val="0"/>
                <w:i w:val="0"/>
                <w:color w:val="auto"/>
                <w:kern w:val="0"/>
                <w:sz w:val="22"/>
                <w:szCs w:val="22"/>
                <w:u w:val="none"/>
                <w:lang w:val="en-US" w:eastAsia="zh-CN" w:bidi="ar"/>
              </w:rPr>
              <w:t>1.</w:t>
            </w:r>
            <w:r>
              <w:rPr>
                <w:rFonts w:hint="default" w:ascii="宋体" w:hAnsi="宋体" w:eastAsia="方正仿宋_GBK" w:cs="Times New Roman"/>
                <w:b w:val="0"/>
                <w:bCs w:val="0"/>
                <w:i w:val="0"/>
                <w:color w:val="auto"/>
                <w:kern w:val="0"/>
                <w:sz w:val="22"/>
                <w:szCs w:val="22"/>
                <w:u w:val="none"/>
                <w:lang w:val="en-US" w:eastAsia="zh-CN" w:bidi="ar"/>
              </w:rPr>
              <w:t xml:space="preserve">建立以上查下、交叉检查工作机制，破解同级监管难题。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eastAsia" w:ascii="宋体" w:hAnsi="宋体" w:eastAsia="方正仿宋_GBK" w:cs="Times New Roman"/>
                <w:b w:val="0"/>
                <w:bCs w:val="0"/>
                <w:i w:val="0"/>
                <w:color w:val="auto"/>
                <w:kern w:val="0"/>
                <w:sz w:val="22"/>
                <w:szCs w:val="22"/>
                <w:u w:val="none"/>
                <w:lang w:val="en-US" w:eastAsia="zh-CN" w:bidi="ar"/>
              </w:rPr>
              <w:t>2.</w:t>
            </w:r>
            <w:r>
              <w:rPr>
                <w:rFonts w:hint="default" w:ascii="宋体" w:hAnsi="宋体" w:eastAsia="方正仿宋_GBK" w:cs="Times New Roman"/>
                <w:b w:val="0"/>
                <w:bCs w:val="0"/>
                <w:i w:val="0"/>
                <w:color w:val="auto"/>
                <w:kern w:val="0"/>
                <w:sz w:val="22"/>
                <w:szCs w:val="22"/>
                <w:u w:val="none"/>
                <w:lang w:val="en-US" w:eastAsia="zh-CN" w:bidi="ar"/>
              </w:rPr>
              <w:t>落实抽查复查、倒查追责等制度，压实监管责任。</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 xml:space="preserve">3.逐级建立医保基金监管综合评价制度，定期通报基金监管工作进展情况，强化评价结果运用。    </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4.建立基金监管问题处置机制，组建由临床、财务、法律、信息技术、质控等专业人员组成的医保专家库，参与重大疑难案件核查等工作，解决基金监管过程中有争议的问题。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州医疗保障局、州卫生健康委等按职责分工负责</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相关制度按省级文件要求执行；其他措施2024年底有明显成效，并长期坚持。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6"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4</w:t>
            </w:r>
          </w:p>
        </w:tc>
        <w:tc>
          <w:tcPr>
            <w:tcW w:w="9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544"/>
              </w:tabs>
              <w:kinsoku/>
              <w:wordWrap/>
              <w:overflowPunct/>
              <w:topLinePunct w:val="0"/>
              <w:autoSpaceDE/>
              <w:autoSpaceDN/>
              <w:bidi w:val="0"/>
              <w:adjustRightInd/>
              <w:snapToGrid/>
              <w:spacing w:line="300" w:lineRule="exact"/>
              <w:ind w:right="0" w:rightChars="0"/>
              <w:jc w:val="left"/>
              <w:outlineLvl w:val="9"/>
              <w:rPr>
                <w:rFonts w:hint="default" w:ascii="宋体" w:hAnsi="宋体" w:eastAsia="方正仿宋_GBK" w:cs="Times New Roman"/>
                <w:b w:val="0"/>
                <w:bCs w:val="0"/>
                <w:i w:val="0"/>
                <w:color w:val="auto"/>
                <w:sz w:val="22"/>
                <w:szCs w:val="22"/>
                <w:u w:val="none"/>
                <w:lang w:eastAsia="zh-CN"/>
              </w:rPr>
            </w:pPr>
            <w:r>
              <w:rPr>
                <w:rFonts w:hint="default" w:ascii="宋体" w:hAnsi="宋体" w:eastAsia="方正仿宋_GBK" w:cs="Times New Roman"/>
                <w:b w:val="0"/>
                <w:bCs w:val="0"/>
                <w:i w:val="0"/>
                <w:color w:val="auto"/>
                <w:kern w:val="0"/>
                <w:sz w:val="22"/>
                <w:szCs w:val="22"/>
                <w:u w:val="none"/>
                <w:lang w:val="en-US" w:eastAsia="zh-CN" w:bidi="ar"/>
              </w:rPr>
              <w:t>一、加强监管制度体系建设</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（四）健全异地就医监管制度</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1.落实参保地费用协查发起责任，压实就医地基金监管责任，推进落实异地就医跨区域查处协同机制。                          </w:t>
            </w:r>
            <w:r>
              <w:rPr>
                <w:rFonts w:hint="default" w:ascii="宋体" w:hAnsi="宋体" w:eastAsia="方正仿宋_GBK" w:cs="Times New Roman"/>
                <w:b w:val="0"/>
                <w:bCs w:val="0"/>
                <w:i w:val="0"/>
                <w:color w:val="auto"/>
                <w:kern w:val="0"/>
                <w:sz w:val="22"/>
                <w:szCs w:val="22"/>
                <w:u w:val="none"/>
                <w:lang w:val="en-US" w:eastAsia="zh-CN" w:bidi="ar"/>
              </w:rPr>
              <w:br w:type="textWrapping"/>
            </w:r>
            <w:r>
              <w:rPr>
                <w:rFonts w:hint="default" w:ascii="宋体" w:hAnsi="宋体" w:eastAsia="方正仿宋_GBK" w:cs="Times New Roman"/>
                <w:b w:val="0"/>
                <w:bCs w:val="0"/>
                <w:i w:val="0"/>
                <w:color w:val="auto"/>
                <w:kern w:val="0"/>
                <w:sz w:val="22"/>
                <w:szCs w:val="22"/>
                <w:u w:val="none"/>
                <w:lang w:val="en-US" w:eastAsia="zh-CN" w:bidi="ar"/>
              </w:rPr>
              <w:t xml:space="preserve">    2.将异地就医作为飞行检查、日常监管等工作的重点，增加异地就医监管在全州医保基金综合评价中的指标权重，评价结果作为有关资金分配的重要依据，防范异地就医过程中的欺诈骗保风险。</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相关制度按省级文件要求执行；其他措施2024年底有明显成效，并长期坚持。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8"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5</w:t>
            </w:r>
          </w:p>
        </w:tc>
        <w:tc>
          <w:tcPr>
            <w:tcW w:w="9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（五）健全医保信用管理制度</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1.推进定点医药机构、医药企业、人员信用分级分类管理，探索建立告知承诺制，将履行承诺情况纳入信用记录，与监督检查频次、处罚裁量等挂钩。                   </w:t>
            </w:r>
            <w:r>
              <w:rPr>
                <w:rFonts w:hint="default" w:ascii="宋体" w:hAnsi="宋体" w:eastAsia="方正仿宋_GBK" w:cs="Times New Roman"/>
                <w:b w:val="0"/>
                <w:bCs w:val="0"/>
                <w:i w:val="0"/>
                <w:color w:val="auto"/>
                <w:kern w:val="0"/>
                <w:sz w:val="22"/>
                <w:szCs w:val="22"/>
                <w:u w:val="none"/>
                <w:lang w:val="en-US" w:eastAsia="zh-CN" w:bidi="ar"/>
              </w:rPr>
              <w:br w:type="textWrapping"/>
            </w:r>
            <w:r>
              <w:rPr>
                <w:rFonts w:hint="default" w:ascii="宋体" w:hAnsi="宋体" w:eastAsia="方正仿宋_GBK" w:cs="Times New Roman"/>
                <w:b w:val="0"/>
                <w:bCs w:val="0"/>
                <w:i w:val="0"/>
                <w:color w:val="auto"/>
                <w:kern w:val="0"/>
                <w:sz w:val="22"/>
                <w:szCs w:val="22"/>
                <w:u w:val="none"/>
                <w:lang w:val="en-US" w:eastAsia="zh-CN" w:bidi="ar"/>
              </w:rPr>
              <w:t xml:space="preserve">    2.根据信用评级，对失信定点医药机构，可通过协议管理在资金结算等方面采取惩戒措施；对失信医药企业，可按规定在医药集中采购等方面采取处置措施；对失信参保人员，按规定暂停其医疗费用联网结算。 </w:t>
            </w:r>
            <w:r>
              <w:rPr>
                <w:rFonts w:hint="default" w:ascii="宋体" w:hAnsi="宋体" w:eastAsia="方正仿宋_GBK" w:cs="Times New Roman"/>
                <w:b w:val="0"/>
                <w:bCs w:val="0"/>
                <w:i w:val="0"/>
                <w:color w:val="auto"/>
                <w:kern w:val="0"/>
                <w:sz w:val="22"/>
                <w:szCs w:val="22"/>
                <w:u w:val="none"/>
                <w:lang w:val="en-US" w:eastAsia="zh-CN" w:bidi="ar"/>
              </w:rPr>
              <w:br w:type="textWrapping"/>
            </w:r>
            <w:r>
              <w:rPr>
                <w:rFonts w:hint="default" w:ascii="宋体" w:hAnsi="宋体" w:eastAsia="方正仿宋_GBK" w:cs="Times New Roman"/>
                <w:b w:val="0"/>
                <w:bCs w:val="0"/>
                <w:i w:val="0"/>
                <w:color w:val="auto"/>
                <w:kern w:val="0"/>
                <w:sz w:val="22"/>
                <w:szCs w:val="22"/>
                <w:u w:val="none"/>
                <w:lang w:val="en-US" w:eastAsia="zh-CN" w:bidi="ar"/>
              </w:rPr>
              <w:t xml:space="preserve">    3.强化跨行业、跨领域、跨部门守信联合激励和失信联合惩戒，依法依规开展信用修复、异议申诉。</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州医疗保障局、州发改委</w:t>
            </w:r>
            <w:r>
              <w:rPr>
                <w:rFonts w:hint="eastAsia" w:ascii="宋体" w:hAnsi="宋体" w:eastAsia="方正仿宋_GBK" w:cs="Times New Roman"/>
                <w:b w:val="0"/>
                <w:bCs w:val="0"/>
                <w:i w:val="0"/>
                <w:color w:val="auto"/>
                <w:kern w:val="0"/>
                <w:sz w:val="22"/>
                <w:szCs w:val="22"/>
                <w:u w:val="none"/>
                <w:lang w:val="en-US" w:eastAsia="zh-CN" w:bidi="ar"/>
              </w:rPr>
              <w:t>、州政务服务局</w:t>
            </w:r>
            <w:r>
              <w:rPr>
                <w:rFonts w:hint="default" w:ascii="宋体" w:hAnsi="宋体" w:eastAsia="方正仿宋_GBK" w:cs="Times New Roman"/>
                <w:b w:val="0"/>
                <w:bCs w:val="0"/>
                <w:i w:val="0"/>
                <w:color w:val="auto"/>
                <w:kern w:val="0"/>
                <w:sz w:val="22"/>
                <w:szCs w:val="22"/>
                <w:u w:val="none"/>
                <w:lang w:val="en-US" w:eastAsia="zh-CN" w:bidi="ar"/>
              </w:rPr>
              <w:t>等按职责分工负责</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相关制度按省级文件要求执行；其他措施2024年底有明显成效，并长期坚持。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71"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6</w:t>
            </w:r>
          </w:p>
        </w:tc>
        <w:tc>
          <w:tcPr>
            <w:tcW w:w="9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（六）健全重大事项应急处置机制</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1.完善日常监管信息报送机制，做好预警监测和提前研判，完善风险处置及应对方案，加强应急演练，提升各级医保行政部门应对处置基金安全突发事件的能力。           </w:t>
            </w:r>
            <w:r>
              <w:rPr>
                <w:rFonts w:hint="default" w:ascii="宋体" w:hAnsi="宋体" w:eastAsia="方正仿宋_GBK" w:cs="Times New Roman"/>
                <w:b w:val="0"/>
                <w:bCs w:val="0"/>
                <w:i w:val="0"/>
                <w:color w:val="auto"/>
                <w:kern w:val="0"/>
                <w:sz w:val="22"/>
                <w:szCs w:val="22"/>
                <w:u w:val="none"/>
                <w:lang w:val="en-US" w:eastAsia="zh-CN" w:bidi="ar"/>
              </w:rPr>
              <w:br w:type="textWrapping"/>
            </w:r>
            <w:r>
              <w:rPr>
                <w:rFonts w:hint="default" w:ascii="宋体" w:hAnsi="宋体" w:eastAsia="方正仿宋_GBK" w:cs="Times New Roman"/>
                <w:b w:val="0"/>
                <w:bCs w:val="0"/>
                <w:i w:val="0"/>
                <w:color w:val="auto"/>
                <w:kern w:val="0"/>
                <w:sz w:val="22"/>
                <w:szCs w:val="22"/>
                <w:u w:val="none"/>
                <w:lang w:val="en-US" w:eastAsia="zh-CN" w:bidi="ar"/>
              </w:rPr>
              <w:t xml:space="preserve">  </w:t>
            </w:r>
            <w:r>
              <w:rPr>
                <w:rFonts w:hint="eastAsia" w:ascii="宋体" w:hAnsi="宋体" w:eastAsia="方正仿宋_GBK" w:cs="Times New Roman"/>
                <w:b w:val="0"/>
                <w:bCs w:val="0"/>
                <w:i w:val="0"/>
                <w:color w:val="auto"/>
                <w:kern w:val="0"/>
                <w:sz w:val="22"/>
                <w:szCs w:val="22"/>
                <w:u w:val="none"/>
                <w:lang w:val="en-US" w:eastAsia="zh-CN" w:bidi="ar"/>
              </w:rPr>
              <w:t xml:space="preserve">  </w:t>
            </w:r>
            <w:r>
              <w:rPr>
                <w:rFonts w:hint="default" w:ascii="宋体" w:hAnsi="宋体" w:eastAsia="方正仿宋_GBK" w:cs="Times New Roman"/>
                <w:b w:val="0"/>
                <w:bCs w:val="0"/>
                <w:i w:val="0"/>
                <w:color w:val="auto"/>
                <w:kern w:val="0"/>
                <w:sz w:val="22"/>
                <w:szCs w:val="22"/>
                <w:u w:val="none"/>
                <w:lang w:val="en-US" w:eastAsia="zh-CN" w:bidi="ar"/>
              </w:rPr>
              <w:t>2.对医保基金监管政策落实不到位、出现医保基金监管严重问题或存在重大欺诈骗保风险隐患的，州医疗保障局可采取函询或者约谈等方式，督促指导有关医保行政部门、定点医药机构等严格履行相关责任并抓好整改落实。</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lang w:val="en-US" w:eastAsia="zh-CN"/>
              </w:rPr>
            </w:pPr>
            <w:r>
              <w:rPr>
                <w:rFonts w:hint="default" w:ascii="宋体" w:hAnsi="宋体" w:eastAsia="方正仿宋_GBK" w:cs="Times New Roman"/>
                <w:b w:val="0"/>
                <w:bCs w:val="0"/>
                <w:i w:val="0"/>
                <w:color w:val="auto"/>
                <w:sz w:val="22"/>
                <w:szCs w:val="22"/>
                <w:u w:val="none"/>
                <w:lang w:val="en-US" w:eastAsia="zh-CN"/>
              </w:rPr>
              <w:t>州医疗保障局</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相关制度按省级文件要求执行；其他措施2024年底有明显成效，并长期坚持。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5"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7</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二、推进智能监控常态化</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（七）完善智能监控系统功能</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 xml:space="preserve">1.加强智能监控系统应用，对医保基金使用行为实时动态跟踪，推动事后监管向事前提醒、事中审核转变，实现事前提醒、事中审核、事后监管全过程智能监控。          </w:t>
            </w:r>
            <w:r>
              <w:rPr>
                <w:rFonts w:hint="default" w:ascii="宋体" w:hAnsi="宋体" w:eastAsia="方正仿宋_GBK" w:cs="Times New Roman"/>
                <w:b w:val="0"/>
                <w:bCs w:val="0"/>
                <w:i w:val="0"/>
                <w:color w:val="auto"/>
                <w:kern w:val="0"/>
                <w:sz w:val="22"/>
                <w:szCs w:val="22"/>
                <w:u w:val="none"/>
                <w:lang w:val="en-US" w:eastAsia="zh-CN" w:bidi="ar"/>
              </w:rPr>
              <w:br w:type="textWrapping"/>
            </w:r>
            <w:r>
              <w:rPr>
                <w:rFonts w:hint="default" w:ascii="宋体" w:hAnsi="宋体" w:eastAsia="方正仿宋_GBK" w:cs="Times New Roman"/>
                <w:b w:val="0"/>
                <w:bCs w:val="0"/>
                <w:i w:val="0"/>
                <w:color w:val="auto"/>
                <w:kern w:val="0"/>
                <w:sz w:val="22"/>
                <w:szCs w:val="22"/>
                <w:u w:val="none"/>
                <w:lang w:val="en-US" w:eastAsia="zh-CN" w:bidi="ar"/>
              </w:rPr>
              <w:t xml:space="preserve">    2.强化智能审核、智能监控、行政执法等模块应用，实现医保日常审核、行政检查和执法流程可调度可追溯。                 </w:t>
            </w:r>
            <w:r>
              <w:rPr>
                <w:rFonts w:hint="default" w:ascii="宋体" w:hAnsi="宋体" w:eastAsia="方正仿宋_GBK" w:cs="Times New Roman"/>
                <w:b w:val="0"/>
                <w:bCs w:val="0"/>
                <w:i w:val="0"/>
                <w:color w:val="auto"/>
                <w:kern w:val="0"/>
                <w:sz w:val="22"/>
                <w:szCs w:val="22"/>
                <w:u w:val="none"/>
                <w:lang w:val="en-US" w:eastAsia="zh-CN" w:bidi="ar"/>
              </w:rPr>
              <w:br w:type="textWrapping"/>
            </w:r>
            <w:r>
              <w:rPr>
                <w:rFonts w:hint="default" w:ascii="宋体" w:hAnsi="宋体" w:eastAsia="方正仿宋_GBK" w:cs="Times New Roman"/>
                <w:b w:val="0"/>
                <w:bCs w:val="0"/>
                <w:i w:val="0"/>
                <w:color w:val="auto"/>
                <w:kern w:val="0"/>
                <w:sz w:val="22"/>
                <w:szCs w:val="22"/>
                <w:u w:val="none"/>
                <w:lang w:val="en-US" w:eastAsia="zh-CN" w:bidi="ar"/>
              </w:rPr>
              <w:t xml:space="preserve">    3.及时梳理智能监控知识库、规则库，加强“两库”应用。</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sz w:val="22"/>
                <w:szCs w:val="22"/>
                <w:lang w:val="en-US" w:eastAsia="zh-CN"/>
              </w:rPr>
            </w:pPr>
            <w:r>
              <w:rPr>
                <w:rFonts w:hint="default" w:ascii="宋体" w:hAnsi="宋体" w:eastAsia="方正仿宋_GBK" w:cs="Times New Roman"/>
                <w:b w:val="0"/>
                <w:bCs w:val="0"/>
                <w:i w:val="0"/>
                <w:color w:val="auto"/>
                <w:kern w:val="0"/>
                <w:sz w:val="22"/>
                <w:szCs w:val="22"/>
                <w:u w:val="none"/>
                <w:lang w:val="en-US" w:eastAsia="zh-CN" w:bidi="ar"/>
              </w:rPr>
              <w:t>4.到2025年底，基本建立规范、科学的常态化智能审核和监控体系。</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sz w:val="22"/>
                <w:szCs w:val="22"/>
                <w:u w:val="none"/>
                <w:lang w:val="en-US" w:eastAsia="zh-CN"/>
              </w:rPr>
              <w:t>州医疗保障局</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2025年底有明显成效，并长期坚持。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8</w:t>
            </w:r>
          </w:p>
        </w:tc>
        <w:tc>
          <w:tcPr>
            <w:tcW w:w="91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二、推进智能监控常态化</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（八）鼓励定点医药机构开展事前提醒</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eastAsia" w:ascii="宋体" w:hAnsi="宋体" w:eastAsia="方正仿宋_GBK" w:cs="Times New Roman"/>
                <w:b w:val="0"/>
                <w:bCs w:val="0"/>
                <w:i w:val="0"/>
                <w:color w:val="auto"/>
                <w:kern w:val="0"/>
                <w:sz w:val="22"/>
                <w:szCs w:val="22"/>
                <w:highlight w:val="none"/>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1.鼓励定点医药机构对接智能监管子系统，或在系统中嵌入规则，对实名就医、规范诊疗、规范计费收费、预警超量开药、预警费用申报等行为实行事前提醒。</w:t>
            </w:r>
            <w:r>
              <w:rPr>
                <w:rFonts w:hint="eastAsia" w:ascii="宋体" w:hAnsi="宋体" w:eastAsia="方正仿宋_GBK" w:cs="Times New Roman"/>
                <w:b w:val="0"/>
                <w:bCs w:val="0"/>
                <w:i w:val="0"/>
                <w:color w:val="auto"/>
                <w:kern w:val="0"/>
                <w:sz w:val="22"/>
                <w:szCs w:val="22"/>
                <w:highlight w:val="none"/>
                <w:u w:val="none"/>
                <w:lang w:val="en-US" w:eastAsia="zh-CN" w:bidi="ar"/>
              </w:rPr>
              <w:t>2024年底前，定点医药机构需完成智能监管系统事前提醒接口改造工作，未完成接口改造的将暂停签订服务协议。</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2.通过身份识别、视频监控，严格落实实名就医制度，确保人证相符。</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3.对医务人员违规行为及时提醒预警，引导医务人员规范诊疗行为和遵守医保政策，减少违规行为发生。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sz w:val="22"/>
                <w:szCs w:val="22"/>
                <w:u w:val="none"/>
                <w:lang w:val="en-US" w:eastAsia="zh-CN"/>
              </w:rPr>
              <w:t>州医疗保障局</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202</w:t>
            </w:r>
            <w:r>
              <w:rPr>
                <w:rFonts w:hint="eastAsia" w:ascii="宋体" w:hAnsi="宋体" w:eastAsia="方正仿宋_GBK" w:cs="Times New Roman"/>
                <w:b w:val="0"/>
                <w:bCs w:val="0"/>
                <w:i w:val="0"/>
                <w:color w:val="auto"/>
                <w:kern w:val="0"/>
                <w:sz w:val="22"/>
                <w:szCs w:val="22"/>
                <w:u w:val="none"/>
                <w:lang w:val="en-US" w:eastAsia="zh-CN" w:bidi="ar"/>
              </w:rPr>
              <w:t>4</w:t>
            </w:r>
            <w:r>
              <w:rPr>
                <w:rFonts w:hint="default" w:ascii="宋体" w:hAnsi="宋体" w:eastAsia="方正仿宋_GBK" w:cs="Times New Roman"/>
                <w:b w:val="0"/>
                <w:bCs w:val="0"/>
                <w:i w:val="0"/>
                <w:color w:val="auto"/>
                <w:kern w:val="0"/>
                <w:sz w:val="22"/>
                <w:szCs w:val="22"/>
                <w:u w:val="none"/>
                <w:lang w:val="en-US" w:eastAsia="zh-CN" w:bidi="ar"/>
              </w:rPr>
              <w:t>年底有明显成效，并长期坚持。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3"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9</w:t>
            </w:r>
          </w:p>
        </w:tc>
        <w:tc>
          <w:tcPr>
            <w:tcW w:w="91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（九）强化经办机构全面智能审核</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 xml:space="preserve">1.医保经办机构要建立健全线上初审、复核、申诉、复审、反馈、处理等全流程审核的管理机制，合理设置各环节审核重点、办理时限，明确审核人员权限，确保审核过程和审核结果可追溯。 </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2.进一步规范医保费用支付流程，实现从定点医药机构费用上传到医保部门费用拨付全流程线上办理。</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3.健全完善与定点医药机构沟通反馈、异议申诉、实地复核、专家论证等机制，确保违法违规问题得到有效处理。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sz w:val="22"/>
                <w:szCs w:val="22"/>
                <w:u w:val="none"/>
                <w:lang w:val="en-US" w:eastAsia="zh-CN"/>
              </w:rPr>
              <w:t>州医疗保障局</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2025年底有明显成效，并长期坚持。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7"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10</w:t>
            </w:r>
          </w:p>
        </w:tc>
        <w:tc>
          <w:tcPr>
            <w:tcW w:w="91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（十）强化智能监控场景应用</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 xml:space="preserve">1.加强对频繁开药、频繁门诊、诊断与患者性别年龄不符、超量开药等门诊共济政策实施后的异常就医购药行为监控，锁定并查处高风险医保账号和人员。 </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eastAsia" w:ascii="宋体" w:hAnsi="宋体" w:eastAsia="方正仿宋_GBK" w:cs="Times New Roman"/>
                <w:b w:val="0"/>
                <w:bCs w:val="0"/>
                <w:i w:val="0"/>
                <w:color w:val="auto"/>
                <w:kern w:val="0"/>
                <w:sz w:val="22"/>
                <w:szCs w:val="22"/>
                <w:u w:val="none"/>
                <w:lang w:val="en-US" w:eastAsia="zh-CN" w:bidi="ar"/>
              </w:rPr>
              <w:t>2</w:t>
            </w:r>
            <w:r>
              <w:rPr>
                <w:rFonts w:hint="default" w:ascii="宋体" w:hAnsi="宋体" w:eastAsia="方正仿宋_GBK" w:cs="Times New Roman"/>
                <w:b w:val="0"/>
                <w:bCs w:val="0"/>
                <w:i w:val="0"/>
                <w:color w:val="auto"/>
                <w:kern w:val="0"/>
                <w:sz w:val="22"/>
                <w:szCs w:val="22"/>
                <w:u w:val="none"/>
                <w:lang w:val="en-US" w:eastAsia="zh-CN" w:bidi="ar"/>
              </w:rPr>
              <w:t>.加强按疾病诊断相关分组（DRG)支付方式下的医保基金智能监控，加大对高靠分组、低标入院、分解住院、转嫁费用、服务不足等行为监管力度。</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eastAsia" w:ascii="宋体" w:hAnsi="宋体" w:eastAsia="方正仿宋_GBK" w:cs="Times New Roman"/>
                <w:b w:val="0"/>
                <w:bCs w:val="0"/>
                <w:i w:val="0"/>
                <w:color w:val="auto"/>
                <w:kern w:val="0"/>
                <w:sz w:val="22"/>
                <w:szCs w:val="22"/>
                <w:u w:val="none"/>
                <w:lang w:val="en-US" w:eastAsia="zh-CN" w:bidi="ar"/>
              </w:rPr>
              <w:t>3</w:t>
            </w:r>
            <w:r>
              <w:rPr>
                <w:rFonts w:hint="default" w:ascii="宋体" w:hAnsi="宋体" w:eastAsia="方正仿宋_GBK" w:cs="Times New Roman"/>
                <w:b w:val="0"/>
                <w:bCs w:val="0"/>
                <w:i w:val="0"/>
                <w:color w:val="auto"/>
                <w:kern w:val="0"/>
                <w:sz w:val="22"/>
                <w:szCs w:val="22"/>
                <w:u w:val="none"/>
                <w:lang w:val="en-US" w:eastAsia="zh-CN" w:bidi="ar"/>
              </w:rPr>
              <w:t xml:space="preserve">.常态化开展大数据筛查分析比对，精准打击医保基金使用违法违规行为。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州医疗保障局、州公安局、州卫生健康委等按职责分工负责</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2024年底有明显成效，并长期坚持。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3"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11</w:t>
            </w:r>
          </w:p>
        </w:tc>
        <w:tc>
          <w:tcPr>
            <w:tcW w:w="91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三、推进日常监管常态化</w:t>
            </w:r>
          </w:p>
          <w:p>
            <w:pPr>
              <w:keepNext w:val="0"/>
              <w:keepLines w:val="0"/>
              <w:pageBreakBefore w:val="0"/>
              <w:widowControl/>
              <w:kinsoku/>
              <w:wordWrap/>
              <w:overflowPunct/>
              <w:topLinePunct w:val="0"/>
              <w:autoSpaceDE/>
              <w:autoSpaceDN/>
              <w:bidi w:val="0"/>
              <w:adjustRightInd/>
              <w:snapToGrid/>
              <w:spacing w:line="300" w:lineRule="exact"/>
              <w:ind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（十一）提高日常监管规范化水平</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 xml:space="preserve">1.医保部门要对定点医药机构协议履行、执行费用结算项目和标准等情况开展全面核查；加强定点医药机构结算后的费用监督检查，对发现的违法违规费用予以追回。  </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2.根据年度监管工作重点，对涉及医保基金使用的重点领域、重点行为、重点项目进行监管。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及时落实，并长期坚持。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35"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12</w:t>
            </w:r>
          </w:p>
        </w:tc>
        <w:tc>
          <w:tcPr>
            <w:tcW w:w="91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（十二）加强重点问题现场核查</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 xml:space="preserve">1.加强对定点医药机构、参保人员医保费用使用异常情况的日常监测、预警、分析，定期梳理并通报风险隐患，由本行政区域内医保部门组织现场核查。  </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 xml:space="preserve">2.根据上级部门交办的问题线索、举报投诉及巡察、信访、审计等反馈涉及定点医药机构医保基金使用问题，及时组织开展现场核查，依法依规处理。 </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3.对涉企的定点医药机构检查，按涉企检查备案有关规定执行。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州医疗保障局、州审计局、州信访局、州司法局等按职责分工负责</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及时落实，并长期坚持。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3"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eastAsia" w:ascii="宋体" w:hAnsi="宋体" w:eastAsia="方正仿宋_GBK" w:cs="Times New Roman"/>
                <w:b w:val="0"/>
                <w:bCs w:val="0"/>
                <w:i w:val="0"/>
                <w:color w:val="auto"/>
                <w:kern w:val="0"/>
                <w:sz w:val="22"/>
                <w:szCs w:val="22"/>
                <w:u w:val="none"/>
                <w:lang w:val="en-US" w:eastAsia="zh-CN" w:bidi="ar"/>
              </w:rPr>
              <w:t>13</w:t>
            </w:r>
          </w:p>
        </w:tc>
        <w:tc>
          <w:tcPr>
            <w:tcW w:w="91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kern w:val="2"/>
                <w:sz w:val="22"/>
                <w:szCs w:val="22"/>
                <w:u w:val="none"/>
                <w:lang w:val="en-US" w:eastAsia="zh-CN" w:bidi="ar-SA"/>
              </w:rPr>
            </w:pPr>
            <w:r>
              <w:rPr>
                <w:rFonts w:hint="default" w:ascii="宋体" w:hAnsi="宋体" w:eastAsia="方正仿宋_GBK" w:cs="Times New Roman"/>
                <w:b w:val="0"/>
                <w:bCs w:val="0"/>
                <w:i w:val="0"/>
                <w:color w:val="auto"/>
                <w:kern w:val="0"/>
                <w:sz w:val="22"/>
                <w:szCs w:val="22"/>
                <w:u w:val="none"/>
                <w:lang w:val="en-US" w:eastAsia="zh-CN" w:bidi="ar"/>
              </w:rPr>
              <w:t>（十</w:t>
            </w:r>
            <w:r>
              <w:rPr>
                <w:rFonts w:hint="eastAsia" w:ascii="宋体" w:hAnsi="宋体" w:eastAsia="方正仿宋_GBK" w:cs="Times New Roman"/>
                <w:b w:val="0"/>
                <w:bCs w:val="0"/>
                <w:i w:val="0"/>
                <w:color w:val="auto"/>
                <w:kern w:val="0"/>
                <w:sz w:val="22"/>
                <w:szCs w:val="22"/>
                <w:u w:val="none"/>
                <w:lang w:val="en-US" w:eastAsia="zh-CN" w:bidi="ar"/>
              </w:rPr>
              <w:t>三</w:t>
            </w:r>
            <w:r>
              <w:rPr>
                <w:rFonts w:hint="default" w:ascii="宋体" w:hAnsi="宋体" w:eastAsia="方正仿宋_GBK" w:cs="Times New Roman"/>
                <w:b w:val="0"/>
                <w:bCs w:val="0"/>
                <w:i w:val="0"/>
                <w:color w:val="auto"/>
                <w:kern w:val="0"/>
                <w:sz w:val="22"/>
                <w:szCs w:val="22"/>
                <w:u w:val="none"/>
                <w:lang w:val="en-US" w:eastAsia="zh-CN" w:bidi="ar"/>
              </w:rPr>
              <w:t>）实现</w:t>
            </w:r>
            <w:r>
              <w:rPr>
                <w:rFonts w:hint="eastAsia" w:ascii="宋体" w:hAnsi="宋体" w:eastAsia="方正仿宋_GBK" w:cs="Times New Roman"/>
                <w:b w:val="0"/>
                <w:bCs w:val="0"/>
                <w:i w:val="0"/>
                <w:color w:val="auto"/>
                <w:kern w:val="0"/>
                <w:sz w:val="22"/>
                <w:szCs w:val="22"/>
                <w:u w:val="none"/>
                <w:lang w:val="en-US" w:eastAsia="zh-CN" w:bidi="ar"/>
              </w:rPr>
              <w:t>交叉</w:t>
            </w:r>
            <w:r>
              <w:rPr>
                <w:rFonts w:hint="default" w:ascii="宋体" w:hAnsi="宋体" w:eastAsia="方正仿宋_GBK" w:cs="Times New Roman"/>
                <w:b w:val="0"/>
                <w:bCs w:val="0"/>
                <w:i w:val="0"/>
                <w:color w:val="auto"/>
                <w:kern w:val="0"/>
                <w:sz w:val="22"/>
                <w:szCs w:val="22"/>
                <w:u w:val="none"/>
                <w:lang w:val="en-US" w:eastAsia="zh-CN" w:bidi="ar"/>
              </w:rPr>
              <w:t>检查全覆盖</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1.原则上每一个自然年度内组织开展１次覆盖所有县市的州内</w:t>
            </w:r>
            <w:r>
              <w:rPr>
                <w:rFonts w:hint="eastAsia" w:ascii="宋体" w:hAnsi="宋体" w:eastAsia="方正仿宋_GBK" w:cs="Times New Roman"/>
                <w:b w:val="0"/>
                <w:bCs w:val="0"/>
                <w:i w:val="0"/>
                <w:color w:val="auto"/>
                <w:kern w:val="0"/>
                <w:sz w:val="22"/>
                <w:szCs w:val="22"/>
                <w:u w:val="none"/>
                <w:lang w:val="en-US" w:eastAsia="zh-CN" w:bidi="ar"/>
              </w:rPr>
              <w:t>交叉</w:t>
            </w:r>
            <w:r>
              <w:rPr>
                <w:rFonts w:hint="default" w:ascii="宋体" w:hAnsi="宋体" w:eastAsia="方正仿宋_GBK" w:cs="Times New Roman"/>
                <w:b w:val="0"/>
                <w:bCs w:val="0"/>
                <w:i w:val="0"/>
                <w:color w:val="auto"/>
                <w:kern w:val="0"/>
                <w:sz w:val="22"/>
                <w:szCs w:val="22"/>
                <w:u w:val="none"/>
                <w:lang w:val="en-US" w:eastAsia="zh-CN" w:bidi="ar"/>
              </w:rPr>
              <w:t>检查。检查对象为定点医药机构、医保经办机构、承办医保业务的其他机构。</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2"/>
                <w:sz w:val="22"/>
                <w:szCs w:val="22"/>
                <w:u w:val="none"/>
                <w:lang w:val="en-US" w:eastAsia="zh-CN" w:bidi="ar-SA"/>
              </w:rPr>
            </w:pPr>
            <w:r>
              <w:rPr>
                <w:rFonts w:hint="default" w:ascii="宋体" w:hAnsi="宋体" w:eastAsia="方正仿宋_GBK" w:cs="Times New Roman"/>
                <w:b w:val="0"/>
                <w:bCs w:val="0"/>
                <w:i w:val="0"/>
                <w:color w:val="auto"/>
                <w:kern w:val="0"/>
                <w:sz w:val="22"/>
                <w:szCs w:val="22"/>
                <w:u w:val="none"/>
                <w:lang w:val="en-US" w:eastAsia="zh-CN" w:bidi="ar"/>
              </w:rPr>
              <w:t>2.检查组由医保行政执法人员和熟悉医保、医疗、医药、财务、数据信息等相关专业人员构成，</w:t>
            </w:r>
            <w:r>
              <w:rPr>
                <w:rFonts w:hint="default" w:ascii="宋体" w:hAnsi="宋体" w:eastAsia="方正仿宋_GBK" w:cs="Times New Roman"/>
                <w:b w:val="0"/>
                <w:bCs w:val="0"/>
                <w:i w:val="0"/>
                <w:color w:val="auto"/>
                <w:kern w:val="0"/>
                <w:sz w:val="22"/>
                <w:szCs w:val="22"/>
                <w:highlight w:val="none"/>
                <w:u w:val="none"/>
                <w:lang w:val="en-US" w:eastAsia="zh-CN" w:bidi="ar"/>
              </w:rPr>
              <w:t>通过政府购买第三方服务等方式</w:t>
            </w:r>
            <w:r>
              <w:rPr>
                <w:rFonts w:hint="eastAsia" w:ascii="宋体" w:hAnsi="宋体" w:eastAsia="方正仿宋_GBK" w:cs="Times New Roman"/>
                <w:b w:val="0"/>
                <w:bCs w:val="0"/>
                <w:i w:val="0"/>
                <w:color w:val="auto"/>
                <w:kern w:val="0"/>
                <w:sz w:val="22"/>
                <w:szCs w:val="22"/>
                <w:highlight w:val="none"/>
                <w:u w:val="none"/>
                <w:lang w:val="en-US" w:eastAsia="zh-CN" w:bidi="ar"/>
              </w:rPr>
              <w:t>，</w:t>
            </w:r>
            <w:r>
              <w:rPr>
                <w:rFonts w:hint="default" w:ascii="宋体" w:hAnsi="宋体" w:eastAsia="方正仿宋_GBK" w:cs="Times New Roman"/>
                <w:b w:val="0"/>
                <w:bCs w:val="0"/>
                <w:i w:val="0"/>
                <w:color w:val="auto"/>
                <w:kern w:val="0"/>
                <w:sz w:val="22"/>
                <w:szCs w:val="22"/>
                <w:u w:val="none"/>
                <w:lang w:val="en-US" w:eastAsia="zh-CN" w:bidi="ar"/>
              </w:rPr>
              <w:t xml:space="preserve">可以聘请符合条件的第三方机构和专业人员协助，主要按照不预先告知、以上查下、交叉互检的方式组织实施。                </w:t>
            </w:r>
            <w:r>
              <w:rPr>
                <w:rFonts w:hint="default" w:ascii="宋体" w:hAnsi="宋体" w:eastAsia="方正仿宋_GBK" w:cs="Times New Roman"/>
                <w:b w:val="0"/>
                <w:bCs w:val="0"/>
                <w:i w:val="0"/>
                <w:color w:val="auto"/>
                <w:kern w:val="0"/>
                <w:sz w:val="22"/>
                <w:szCs w:val="22"/>
                <w:u w:val="none"/>
                <w:lang w:val="en-US" w:eastAsia="zh-CN" w:bidi="ar"/>
              </w:rPr>
              <w:br w:type="textWrapping"/>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kern w:val="2"/>
                <w:sz w:val="22"/>
                <w:szCs w:val="22"/>
                <w:u w:val="none"/>
                <w:lang w:val="en-US" w:eastAsia="zh-CN" w:bidi="ar-SA"/>
              </w:rPr>
            </w:pPr>
            <w:r>
              <w:rPr>
                <w:rFonts w:hint="default" w:ascii="宋体" w:hAnsi="宋体" w:eastAsia="方正仿宋_GBK" w:cs="Times New Roman"/>
                <w:b w:val="0"/>
                <w:bCs w:val="0"/>
                <w:i w:val="0"/>
                <w:color w:val="auto"/>
                <w:kern w:val="0"/>
                <w:sz w:val="22"/>
                <w:szCs w:val="22"/>
                <w:u w:val="none"/>
                <w:lang w:val="en-US" w:eastAsia="zh-CN" w:bidi="ar"/>
              </w:rPr>
              <w:t>州医疗保障局</w:t>
            </w:r>
            <w:r>
              <w:rPr>
                <w:rFonts w:hint="eastAsia" w:ascii="宋体" w:hAnsi="宋体" w:eastAsia="方正仿宋_GBK" w:cs="Times New Roman"/>
                <w:b w:val="0"/>
                <w:bCs w:val="0"/>
                <w:i w:val="0"/>
                <w:color w:val="auto"/>
                <w:kern w:val="0"/>
                <w:sz w:val="22"/>
                <w:szCs w:val="22"/>
                <w:u w:val="none"/>
                <w:lang w:val="en-US" w:eastAsia="zh-CN" w:bidi="ar"/>
              </w:rPr>
              <w:t>、州财政局等按职责分工负责</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kern w:val="2"/>
                <w:sz w:val="22"/>
                <w:szCs w:val="22"/>
                <w:u w:val="none"/>
                <w:lang w:val="en-US" w:eastAsia="zh-CN" w:bidi="ar-SA"/>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及时落实，并长期坚持。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2"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1</w:t>
            </w:r>
            <w:r>
              <w:rPr>
                <w:rFonts w:hint="eastAsia" w:ascii="宋体" w:hAnsi="宋体" w:eastAsia="方正仿宋_GBK" w:cs="Times New Roman"/>
                <w:b w:val="0"/>
                <w:bCs w:val="0"/>
                <w:i w:val="0"/>
                <w:color w:val="auto"/>
                <w:kern w:val="0"/>
                <w:sz w:val="22"/>
                <w:szCs w:val="22"/>
                <w:u w:val="none"/>
                <w:lang w:val="en-US" w:eastAsia="zh-CN" w:bidi="ar"/>
              </w:rPr>
              <w:t>4</w:t>
            </w:r>
          </w:p>
        </w:tc>
        <w:tc>
          <w:tcPr>
            <w:tcW w:w="91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四、推进专项整治常态化</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（十</w:t>
            </w:r>
            <w:r>
              <w:rPr>
                <w:rFonts w:hint="eastAsia" w:ascii="宋体" w:hAnsi="宋体" w:eastAsia="方正仿宋_GBK" w:cs="Times New Roman"/>
                <w:b w:val="0"/>
                <w:bCs w:val="0"/>
                <w:i w:val="0"/>
                <w:color w:val="auto"/>
                <w:kern w:val="0"/>
                <w:sz w:val="22"/>
                <w:szCs w:val="22"/>
                <w:u w:val="none"/>
                <w:lang w:val="en-US" w:eastAsia="zh-CN" w:bidi="ar"/>
              </w:rPr>
              <w:t>四</w:t>
            </w:r>
            <w:r>
              <w:rPr>
                <w:rFonts w:hint="default" w:ascii="宋体" w:hAnsi="宋体" w:eastAsia="方正仿宋_GBK" w:cs="Times New Roman"/>
                <w:b w:val="0"/>
                <w:bCs w:val="0"/>
                <w:i w:val="0"/>
                <w:color w:val="auto"/>
                <w:kern w:val="0"/>
                <w:sz w:val="22"/>
                <w:szCs w:val="22"/>
                <w:u w:val="none"/>
                <w:lang w:val="en-US" w:eastAsia="zh-CN" w:bidi="ar"/>
              </w:rPr>
              <w:t>）重点打击欺诈骗保行为</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根据国家和省级统一部署以及医保基金监管工作需要，聚焦定点医药机构、参保人员、职业团伙等的欺诈骗保行为，联合检察、公安、财政、卫生健康、市场监管等部门组织开展打击欺诈骗保专项整治行动，集中查处一批大案要案，联合打击一批犯罪团伙。</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州医疗保障局、州公安局、州财政局、州卫生健康委、州市场监管局、州检察院等按职责分工负责</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及时落实，并长期坚持。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7"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eastAsia" w:ascii="宋体" w:hAnsi="宋体" w:eastAsia="方正仿宋_GBK" w:cs="Times New Roman"/>
                <w:b w:val="0"/>
                <w:bCs w:val="0"/>
                <w:i w:val="0"/>
                <w:color w:val="auto"/>
                <w:kern w:val="0"/>
                <w:sz w:val="22"/>
                <w:szCs w:val="22"/>
                <w:u w:val="none"/>
                <w:lang w:val="en-US" w:eastAsia="zh-CN" w:bidi="ar"/>
              </w:rPr>
              <w:t>15</w:t>
            </w:r>
          </w:p>
        </w:tc>
        <w:tc>
          <w:tcPr>
            <w:tcW w:w="91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（十</w:t>
            </w:r>
            <w:r>
              <w:rPr>
                <w:rFonts w:hint="eastAsia" w:ascii="宋体" w:hAnsi="宋体" w:eastAsia="方正仿宋_GBK" w:cs="Times New Roman"/>
                <w:b w:val="0"/>
                <w:bCs w:val="0"/>
                <w:i w:val="0"/>
                <w:color w:val="auto"/>
                <w:kern w:val="0"/>
                <w:sz w:val="22"/>
                <w:szCs w:val="22"/>
                <w:u w:val="none"/>
                <w:lang w:val="en-US" w:eastAsia="zh-CN" w:bidi="ar"/>
              </w:rPr>
              <w:t>五</w:t>
            </w:r>
            <w:r>
              <w:rPr>
                <w:rFonts w:hint="default" w:ascii="宋体" w:hAnsi="宋体" w:eastAsia="方正仿宋_GBK" w:cs="Times New Roman"/>
                <w:b w:val="0"/>
                <w:bCs w:val="0"/>
                <w:i w:val="0"/>
                <w:color w:val="auto"/>
                <w:kern w:val="0"/>
                <w:sz w:val="22"/>
                <w:szCs w:val="22"/>
                <w:u w:val="none"/>
                <w:lang w:val="en-US" w:eastAsia="zh-CN" w:bidi="ar"/>
              </w:rPr>
              <w:t>）强化跨部门协调联动执法</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1.州医疗保障局根据</w:t>
            </w:r>
            <w:r>
              <w:rPr>
                <w:rFonts w:hint="eastAsia" w:ascii="宋体" w:hAnsi="宋体" w:eastAsia="方正仿宋_GBK" w:cs="Times New Roman"/>
                <w:b w:val="0"/>
                <w:bCs w:val="0"/>
                <w:i w:val="0"/>
                <w:color w:val="auto"/>
                <w:kern w:val="0"/>
                <w:sz w:val="22"/>
                <w:szCs w:val="22"/>
                <w:u w:val="none"/>
                <w:lang w:val="en-US" w:eastAsia="zh-CN" w:bidi="ar"/>
              </w:rPr>
              <w:t>上级要求和</w:t>
            </w:r>
            <w:r>
              <w:rPr>
                <w:rFonts w:hint="default" w:ascii="宋体" w:hAnsi="宋体" w:eastAsia="方正仿宋_GBK" w:cs="Times New Roman"/>
                <w:b w:val="0"/>
                <w:bCs w:val="0"/>
                <w:i w:val="0"/>
                <w:color w:val="auto"/>
                <w:kern w:val="0"/>
                <w:sz w:val="22"/>
                <w:szCs w:val="22"/>
                <w:u w:val="none"/>
                <w:lang w:val="en-US" w:eastAsia="zh-CN" w:bidi="ar"/>
              </w:rPr>
              <w:t>年度工作安排以及涉及医保基金可能存在重大安全风险情况，可联合财政、卫生健康、市场监管等部门开展专项检查，制定并公开检查方案。</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eastAsia" w:ascii="宋体" w:hAnsi="宋体" w:eastAsia="方正仿宋_GBK" w:cs="Times New Roman"/>
                <w:b w:val="0"/>
                <w:bCs w:val="0"/>
                <w:i w:val="0"/>
                <w:color w:val="auto"/>
                <w:kern w:val="0"/>
                <w:sz w:val="22"/>
                <w:szCs w:val="22"/>
                <w:u w:val="none"/>
                <w:lang w:val="en-US" w:eastAsia="zh-CN" w:bidi="ar"/>
              </w:rPr>
              <w:t>2.加</w:t>
            </w:r>
            <w:r>
              <w:rPr>
                <w:rFonts w:hint="default" w:ascii="宋体" w:hAnsi="宋体" w:eastAsia="方正仿宋_GBK" w:cs="Times New Roman"/>
                <w:b w:val="0"/>
                <w:bCs w:val="0"/>
                <w:i w:val="0"/>
                <w:color w:val="auto"/>
                <w:kern w:val="0"/>
                <w:sz w:val="22"/>
                <w:szCs w:val="22"/>
                <w:u w:val="none"/>
                <w:lang w:val="en-US" w:eastAsia="zh-CN" w:bidi="ar"/>
              </w:rPr>
              <w:t>强部门间数据共享和监测分析，强化案件线索通报，完善行刑衔接机制，健全重大案件同步上案和挂牌督办制度，积极开展部门联合执法，综合运用协议、行政、司法等多种手段分类处置违法违规行为，形成多部门联动机制。</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州医疗保障局、州公安局、州卫生健康委、州市场监管局、州检察院等按职责分工负责</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及时落实，并长期坚持。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1</w:t>
            </w:r>
            <w:r>
              <w:rPr>
                <w:rFonts w:hint="eastAsia" w:ascii="宋体" w:hAnsi="宋体" w:eastAsia="方正仿宋_GBK" w:cs="Times New Roman"/>
                <w:b w:val="0"/>
                <w:bCs w:val="0"/>
                <w:i w:val="0"/>
                <w:color w:val="auto"/>
                <w:kern w:val="0"/>
                <w:sz w:val="22"/>
                <w:szCs w:val="22"/>
                <w:u w:val="none"/>
                <w:lang w:val="en-US" w:eastAsia="zh-CN" w:bidi="ar"/>
              </w:rPr>
              <w:t>6</w:t>
            </w:r>
          </w:p>
        </w:tc>
        <w:tc>
          <w:tcPr>
            <w:tcW w:w="91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（十</w:t>
            </w:r>
            <w:r>
              <w:rPr>
                <w:rFonts w:hint="eastAsia" w:ascii="宋体" w:hAnsi="宋体" w:eastAsia="方正仿宋_GBK" w:cs="Times New Roman"/>
                <w:b w:val="0"/>
                <w:bCs w:val="0"/>
                <w:i w:val="0"/>
                <w:color w:val="auto"/>
                <w:kern w:val="0"/>
                <w:sz w:val="22"/>
                <w:szCs w:val="22"/>
                <w:u w:val="none"/>
                <w:lang w:val="en-US" w:eastAsia="zh-CN" w:bidi="ar"/>
              </w:rPr>
              <w:t>六</w:t>
            </w:r>
            <w:r>
              <w:rPr>
                <w:rFonts w:hint="default" w:ascii="宋体" w:hAnsi="宋体" w:eastAsia="方正仿宋_GBK" w:cs="Times New Roman"/>
                <w:b w:val="0"/>
                <w:bCs w:val="0"/>
                <w:i w:val="0"/>
                <w:color w:val="auto"/>
                <w:kern w:val="0"/>
                <w:sz w:val="22"/>
                <w:szCs w:val="22"/>
                <w:u w:val="none"/>
                <w:lang w:val="en-US" w:eastAsia="zh-CN" w:bidi="ar"/>
              </w:rPr>
              <w:t>）强化专项整治成果转化</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1.积极推动专项整治工作成果转化为管用有效的查办经验及监管规范标准，推进完善医药服务价格和医保支付政策并建立健全有关机制。</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2.经专项整治后的同一项目，仍然存在违法违规行为的，要充分运用行刑衔接、行纪衔接机制，坚决移送有关部门处理。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2024年底有明显成效，并长期坚持。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6"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1</w:t>
            </w:r>
            <w:r>
              <w:rPr>
                <w:rFonts w:hint="eastAsia" w:ascii="宋体" w:hAnsi="宋体" w:eastAsia="方正仿宋_GBK" w:cs="Times New Roman"/>
                <w:b w:val="0"/>
                <w:bCs w:val="0"/>
                <w:i w:val="0"/>
                <w:color w:val="auto"/>
                <w:kern w:val="0"/>
                <w:sz w:val="22"/>
                <w:szCs w:val="22"/>
                <w:u w:val="none"/>
                <w:lang w:val="en-US" w:eastAsia="zh-CN" w:bidi="ar"/>
              </w:rPr>
              <w:t>7</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五、推进飞行检查常态化</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（十</w:t>
            </w:r>
            <w:r>
              <w:rPr>
                <w:rFonts w:hint="eastAsia" w:ascii="宋体" w:hAnsi="宋体" w:eastAsia="方正仿宋_GBK" w:cs="Times New Roman"/>
                <w:b w:val="0"/>
                <w:bCs w:val="0"/>
                <w:i w:val="0"/>
                <w:color w:val="auto"/>
                <w:kern w:val="0"/>
                <w:sz w:val="22"/>
                <w:szCs w:val="22"/>
                <w:u w:val="none"/>
                <w:lang w:val="en-US" w:eastAsia="zh-CN" w:bidi="ar"/>
              </w:rPr>
              <w:t>七</w:t>
            </w:r>
            <w:r>
              <w:rPr>
                <w:rFonts w:hint="default" w:ascii="宋体" w:hAnsi="宋体" w:eastAsia="方正仿宋_GBK" w:cs="Times New Roman"/>
                <w:b w:val="0"/>
                <w:bCs w:val="0"/>
                <w:i w:val="0"/>
                <w:color w:val="auto"/>
                <w:kern w:val="0"/>
                <w:sz w:val="22"/>
                <w:szCs w:val="22"/>
                <w:u w:val="none"/>
                <w:lang w:val="en-US" w:eastAsia="zh-CN" w:bidi="ar"/>
              </w:rPr>
              <w:t>）推进飞行检查发现问题全面整改</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1.飞行检查</w:t>
            </w:r>
            <w:r>
              <w:rPr>
                <w:rFonts w:hint="eastAsia" w:ascii="宋体" w:hAnsi="宋体" w:eastAsia="方正仿宋_GBK" w:cs="Times New Roman"/>
                <w:b w:val="0"/>
                <w:bCs w:val="0"/>
                <w:i w:val="0"/>
                <w:color w:val="auto"/>
                <w:kern w:val="0"/>
                <w:sz w:val="22"/>
                <w:szCs w:val="22"/>
                <w:u w:val="none"/>
                <w:lang w:val="en-US" w:eastAsia="zh-CN" w:bidi="ar"/>
              </w:rPr>
              <w:t>、专项检查、交叉检查等</w:t>
            </w:r>
            <w:r>
              <w:rPr>
                <w:rFonts w:hint="default" w:ascii="宋体" w:hAnsi="宋体" w:eastAsia="方正仿宋_GBK" w:cs="Times New Roman"/>
                <w:b w:val="0"/>
                <w:bCs w:val="0"/>
                <w:i w:val="0"/>
                <w:color w:val="auto"/>
                <w:kern w:val="0"/>
                <w:sz w:val="22"/>
                <w:szCs w:val="22"/>
                <w:u w:val="none"/>
                <w:lang w:val="en-US" w:eastAsia="zh-CN" w:bidi="ar"/>
              </w:rPr>
              <w:t>完成后，检查组将经双方签字确认的问题线索反馈被检查地医保部门进行处理。</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2.注重发挥飞行</w:t>
            </w:r>
            <w:r>
              <w:rPr>
                <w:rFonts w:hint="eastAsia" w:ascii="宋体" w:hAnsi="宋体" w:eastAsia="方正仿宋_GBK" w:cs="Times New Roman"/>
                <w:b w:val="0"/>
                <w:bCs w:val="0"/>
                <w:i w:val="0"/>
                <w:color w:val="auto"/>
                <w:kern w:val="0"/>
                <w:sz w:val="22"/>
                <w:szCs w:val="22"/>
                <w:u w:val="none"/>
                <w:lang w:val="en-US" w:eastAsia="zh-CN" w:bidi="ar"/>
              </w:rPr>
              <w:t>、</w:t>
            </w:r>
            <w:r>
              <w:rPr>
                <w:rFonts w:hint="default" w:ascii="宋体" w:hAnsi="宋体" w:eastAsia="方正仿宋_GBK" w:cs="Times New Roman"/>
                <w:b w:val="0"/>
                <w:bCs w:val="0"/>
                <w:i w:val="0"/>
                <w:color w:val="auto"/>
                <w:kern w:val="0"/>
                <w:sz w:val="22"/>
                <w:szCs w:val="22"/>
                <w:u w:val="none"/>
                <w:lang w:val="en-US" w:eastAsia="zh-CN" w:bidi="ar"/>
              </w:rPr>
              <w:t>专项</w:t>
            </w:r>
            <w:r>
              <w:rPr>
                <w:rFonts w:hint="eastAsia" w:ascii="宋体" w:hAnsi="宋体" w:eastAsia="方正仿宋_GBK" w:cs="Times New Roman"/>
                <w:b w:val="0"/>
                <w:bCs w:val="0"/>
                <w:i w:val="0"/>
                <w:color w:val="auto"/>
                <w:kern w:val="0"/>
                <w:sz w:val="22"/>
                <w:szCs w:val="22"/>
                <w:u w:val="none"/>
                <w:lang w:val="en-US" w:eastAsia="zh-CN" w:bidi="ar"/>
              </w:rPr>
              <w:t>、交叉</w:t>
            </w:r>
            <w:r>
              <w:rPr>
                <w:rFonts w:hint="default" w:ascii="宋体" w:hAnsi="宋体" w:eastAsia="方正仿宋_GBK" w:cs="Times New Roman"/>
                <w:b w:val="0"/>
                <w:bCs w:val="0"/>
                <w:i w:val="0"/>
                <w:color w:val="auto"/>
                <w:kern w:val="0"/>
                <w:sz w:val="22"/>
                <w:szCs w:val="22"/>
                <w:u w:val="none"/>
                <w:lang w:val="en-US" w:eastAsia="zh-CN" w:bidi="ar"/>
              </w:rPr>
              <w:t xml:space="preserve">检查带动引领作用，聚焦典型性、顽固性、复杂性违法违规问题，及时督促属地有关部门举一反三，认真整改。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及时落实，并长期坚持。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7"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1</w:t>
            </w:r>
            <w:r>
              <w:rPr>
                <w:rFonts w:hint="eastAsia" w:ascii="宋体" w:hAnsi="宋体" w:eastAsia="方正仿宋_GBK" w:cs="Times New Roman"/>
                <w:b w:val="0"/>
                <w:bCs w:val="0"/>
                <w:i w:val="0"/>
                <w:color w:val="auto"/>
                <w:kern w:val="0"/>
                <w:sz w:val="22"/>
                <w:szCs w:val="22"/>
                <w:u w:val="none"/>
                <w:lang w:val="en-US" w:eastAsia="zh-CN" w:bidi="ar"/>
              </w:rPr>
              <w:t>8</w:t>
            </w:r>
          </w:p>
        </w:tc>
        <w:tc>
          <w:tcPr>
            <w:tcW w:w="91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 xml:space="preserve"> 六、推进社会监督常态化</w:t>
            </w:r>
          </w:p>
          <w:p>
            <w:pPr>
              <w:keepNext w:val="0"/>
              <w:keepLines w:val="0"/>
              <w:pageBreakBefore w:val="0"/>
              <w:widowControl/>
              <w:kinsoku/>
              <w:wordWrap/>
              <w:overflowPunct/>
              <w:topLinePunct w:val="0"/>
              <w:autoSpaceDE/>
              <w:autoSpaceDN/>
              <w:bidi w:val="0"/>
              <w:adjustRightInd/>
              <w:snapToGrid/>
              <w:spacing w:line="300" w:lineRule="exact"/>
              <w:ind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（十</w:t>
            </w:r>
            <w:r>
              <w:rPr>
                <w:rFonts w:hint="eastAsia" w:ascii="宋体" w:hAnsi="宋体" w:eastAsia="方正仿宋_GBK" w:cs="Times New Roman"/>
                <w:b w:val="0"/>
                <w:bCs w:val="0"/>
                <w:i w:val="0"/>
                <w:color w:val="auto"/>
                <w:kern w:val="0"/>
                <w:sz w:val="22"/>
                <w:szCs w:val="22"/>
                <w:u w:val="none"/>
                <w:lang w:val="en-US" w:eastAsia="zh-CN" w:bidi="ar"/>
              </w:rPr>
              <w:t>八</w:t>
            </w:r>
            <w:r>
              <w:rPr>
                <w:rFonts w:hint="default" w:ascii="宋体" w:hAnsi="宋体" w:eastAsia="方正仿宋_GBK" w:cs="Times New Roman"/>
                <w:b w:val="0"/>
                <w:bCs w:val="0"/>
                <w:i w:val="0"/>
                <w:color w:val="auto"/>
                <w:kern w:val="0"/>
                <w:sz w:val="22"/>
                <w:szCs w:val="22"/>
                <w:u w:val="none"/>
                <w:lang w:val="en-US" w:eastAsia="zh-CN" w:bidi="ar"/>
              </w:rPr>
              <w:t>）畅通举报投诉渠道</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 xml:space="preserve">1.依托全国医保基金举报投诉管理系统，规范处置流程，对举报投诉全流程记录、全过程管理。 </w:t>
            </w:r>
          </w:p>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2.落实举报奖励制度，根据举报证据与违法事实查证结果，按《云南省违法违规使用医疗保障基金举报奖励</w:t>
            </w:r>
            <w:r>
              <w:rPr>
                <w:rFonts w:hint="eastAsia" w:ascii="宋体" w:hAnsi="宋体" w:eastAsia="方正仿宋_GBK" w:cs="Times New Roman"/>
                <w:b w:val="0"/>
                <w:bCs w:val="0"/>
                <w:i w:val="0"/>
                <w:color w:val="auto"/>
                <w:kern w:val="0"/>
                <w:sz w:val="22"/>
                <w:szCs w:val="22"/>
                <w:u w:val="none"/>
                <w:lang w:val="en-US" w:eastAsia="zh-CN" w:bidi="ar"/>
              </w:rPr>
              <w:t>实施</w:t>
            </w:r>
            <w:r>
              <w:rPr>
                <w:rFonts w:hint="default" w:ascii="宋体" w:hAnsi="宋体" w:eastAsia="方正仿宋_GBK" w:cs="Times New Roman"/>
                <w:b w:val="0"/>
                <w:bCs w:val="0"/>
                <w:i w:val="0"/>
                <w:color w:val="auto"/>
                <w:kern w:val="0"/>
                <w:sz w:val="22"/>
                <w:szCs w:val="22"/>
                <w:u w:val="none"/>
                <w:lang w:val="en-US" w:eastAsia="zh-CN" w:bidi="ar"/>
              </w:rPr>
              <w:t xml:space="preserve">细则》规定的奖励标准给予举报人奖励，广泛调动全民参与医保基金使用监督的积极性。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州医疗保障局、州财政局等按职责分工负责</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及时落实，并长期坚持。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lang w:val="en-US"/>
              </w:rPr>
            </w:pPr>
            <w:r>
              <w:rPr>
                <w:rFonts w:hint="eastAsia" w:ascii="宋体" w:hAnsi="宋体" w:eastAsia="方正仿宋_GBK" w:cs="Times New Roman"/>
                <w:b w:val="0"/>
                <w:bCs w:val="0"/>
                <w:i w:val="0"/>
                <w:color w:val="auto"/>
                <w:kern w:val="0"/>
                <w:sz w:val="22"/>
                <w:szCs w:val="22"/>
                <w:u w:val="none"/>
                <w:lang w:val="en-US" w:eastAsia="zh-CN" w:bidi="ar"/>
              </w:rPr>
              <w:t>19</w:t>
            </w:r>
          </w:p>
        </w:tc>
        <w:tc>
          <w:tcPr>
            <w:tcW w:w="91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w:t>
            </w:r>
            <w:r>
              <w:rPr>
                <w:rFonts w:hint="eastAsia" w:ascii="宋体" w:hAnsi="宋体" w:eastAsia="方正仿宋_GBK" w:cs="Times New Roman"/>
                <w:b w:val="0"/>
                <w:bCs w:val="0"/>
                <w:i w:val="0"/>
                <w:color w:val="auto"/>
                <w:kern w:val="0"/>
                <w:sz w:val="22"/>
                <w:szCs w:val="22"/>
                <w:u w:val="none"/>
                <w:lang w:val="en-US" w:eastAsia="zh-CN" w:bidi="ar"/>
              </w:rPr>
              <w:t>十九</w:t>
            </w:r>
            <w:r>
              <w:rPr>
                <w:rFonts w:hint="default" w:ascii="宋体" w:hAnsi="宋体" w:eastAsia="方正仿宋_GBK" w:cs="Times New Roman"/>
                <w:b w:val="0"/>
                <w:bCs w:val="0"/>
                <w:i w:val="0"/>
                <w:color w:val="auto"/>
                <w:kern w:val="0"/>
                <w:sz w:val="22"/>
                <w:szCs w:val="22"/>
                <w:u w:val="none"/>
                <w:lang w:val="en-US" w:eastAsia="zh-CN" w:bidi="ar"/>
              </w:rPr>
              <w:t>）健全社会监督员制度</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从人大代表、政协委员、新闻媒体行业、退休人员中选聘一批专业人士担任医保基金社会监督员。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2.定期组织开展培训，梳理汇总核实社会监督员反映的问题线索，充分发挥社会监督员监督作用。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及时落实，并长期坚持。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lang w:val="en-US"/>
              </w:rPr>
            </w:pPr>
            <w:r>
              <w:rPr>
                <w:rFonts w:hint="default" w:ascii="宋体" w:hAnsi="宋体" w:eastAsia="方正仿宋_GBK" w:cs="Times New Roman"/>
                <w:b w:val="0"/>
                <w:bCs w:val="0"/>
                <w:i w:val="0"/>
                <w:color w:val="auto"/>
                <w:kern w:val="0"/>
                <w:sz w:val="22"/>
                <w:szCs w:val="22"/>
                <w:u w:val="none"/>
                <w:lang w:val="en-US" w:eastAsia="zh-CN" w:bidi="ar"/>
              </w:rPr>
              <w:t>2</w:t>
            </w:r>
            <w:r>
              <w:rPr>
                <w:rFonts w:hint="eastAsia" w:ascii="宋体" w:hAnsi="宋体" w:eastAsia="方正仿宋_GBK" w:cs="Times New Roman"/>
                <w:b w:val="0"/>
                <w:bCs w:val="0"/>
                <w:i w:val="0"/>
                <w:color w:val="auto"/>
                <w:kern w:val="0"/>
                <w:sz w:val="22"/>
                <w:szCs w:val="22"/>
                <w:u w:val="none"/>
                <w:lang w:val="en-US" w:eastAsia="zh-CN" w:bidi="ar"/>
              </w:rPr>
              <w:t>0</w:t>
            </w:r>
          </w:p>
        </w:tc>
        <w:tc>
          <w:tcPr>
            <w:tcW w:w="91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（二十）加强医保信息披露</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1.落实医保部门定期公开医保基金收入、支出、结余等信息披露制度，探索建立定点医药机构医保基金使用情况向社会公示制度，主动接受社会监督。                   </w:t>
            </w:r>
            <w:r>
              <w:rPr>
                <w:rFonts w:hint="default" w:ascii="宋体" w:hAnsi="宋体" w:eastAsia="方正仿宋_GBK" w:cs="Times New Roman"/>
                <w:b w:val="0"/>
                <w:bCs w:val="0"/>
                <w:i w:val="0"/>
                <w:color w:val="auto"/>
                <w:kern w:val="0"/>
                <w:sz w:val="22"/>
                <w:szCs w:val="22"/>
                <w:u w:val="none"/>
                <w:lang w:val="en-US" w:eastAsia="zh-CN" w:bidi="ar"/>
              </w:rPr>
              <w:br w:type="textWrapping"/>
            </w:r>
            <w:r>
              <w:rPr>
                <w:rFonts w:hint="default" w:ascii="宋体" w:hAnsi="宋体" w:eastAsia="方正仿宋_GBK" w:cs="Times New Roman"/>
                <w:b w:val="0"/>
                <w:bCs w:val="0"/>
                <w:i w:val="0"/>
                <w:color w:val="auto"/>
                <w:kern w:val="0"/>
                <w:sz w:val="22"/>
                <w:szCs w:val="22"/>
                <w:u w:val="none"/>
                <w:lang w:val="en-US" w:eastAsia="zh-CN" w:bidi="ar"/>
              </w:rPr>
              <w:t xml:space="preserve">    2.持续开展典型案例曝光，强化警示震慑。</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相关制度按省级文件要求执行；其他措施2024年底有明显成效，并长期坚持。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9"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2</w:t>
            </w:r>
            <w:r>
              <w:rPr>
                <w:rFonts w:hint="eastAsia" w:ascii="宋体" w:hAnsi="宋体" w:eastAsia="方正仿宋_GBK" w:cs="Times New Roman"/>
                <w:b w:val="0"/>
                <w:bCs w:val="0"/>
                <w:i w:val="0"/>
                <w:color w:val="auto"/>
                <w:kern w:val="0"/>
                <w:sz w:val="22"/>
                <w:szCs w:val="22"/>
                <w:u w:val="none"/>
                <w:lang w:val="en-US" w:eastAsia="zh-CN" w:bidi="ar"/>
              </w:rPr>
              <w:t>1</w:t>
            </w:r>
          </w:p>
        </w:tc>
        <w:tc>
          <w:tcPr>
            <w:tcW w:w="9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eastAsia" w:ascii="宋体" w:hAnsi="宋体"/>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eastAsia" w:ascii="宋体" w:hAnsi="宋体"/>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eastAsia" w:ascii="宋体" w:hAnsi="宋体"/>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eastAsia" w:ascii="宋体" w:hAnsi="宋体"/>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lang w:val="en-US" w:eastAsia="zh-CN"/>
              </w:rPr>
            </w:pPr>
            <w:r>
              <w:rPr>
                <w:rFonts w:hint="eastAsia" w:ascii="宋体" w:hAnsi="宋体"/>
                <w:lang w:val="en-US" w:eastAsia="zh-CN"/>
              </w:rPr>
              <w:t>七</w:t>
            </w:r>
            <w:r>
              <w:rPr>
                <w:rFonts w:hint="eastAsia" w:ascii="宋体" w:hAnsi="宋体" w:eastAsia="方正仿宋_GBK" w:cs="方正仿宋_GBK"/>
                <w:lang w:val="en-US" w:eastAsia="zh-CN"/>
              </w:rPr>
              <w:t>、健全完善协同联动机制</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eastAsia" w:ascii="宋体" w:hAnsi="宋体" w:eastAsia="方正仿宋_GBK" w:cs="Times New Roman"/>
                <w:b w:val="0"/>
                <w:bCs w:val="0"/>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eastAsia" w:ascii="宋体" w:hAnsi="宋体" w:eastAsia="方正仿宋_GBK" w:cs="Times New Roman"/>
                <w:b w:val="0"/>
                <w:bCs w:val="0"/>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eastAsia" w:ascii="宋体" w:hAnsi="宋体" w:eastAsia="方正仿宋_GBK" w:cs="Times New Roman"/>
                <w:b w:val="0"/>
                <w:bCs w:val="0"/>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eastAsia" w:ascii="宋体" w:hAnsi="宋体" w:eastAsia="方正仿宋_GBK" w:cs="Times New Roman"/>
                <w:b w:val="0"/>
                <w:bCs w:val="0"/>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eastAsia" w:ascii="宋体" w:hAnsi="宋体" w:eastAsia="方正仿宋_GBK" w:cs="Times New Roman"/>
                <w:b w:val="0"/>
                <w:bCs w:val="0"/>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eastAsia" w:ascii="宋体" w:hAnsi="宋体" w:eastAsia="方正仿宋_GBK" w:cs="Times New Roman"/>
                <w:b w:val="0"/>
                <w:bCs w:val="0"/>
                <w:i w:val="0"/>
                <w:color w:val="auto"/>
                <w:kern w:val="0"/>
                <w:sz w:val="22"/>
                <w:szCs w:val="22"/>
                <w:u w:val="none"/>
                <w:lang w:val="en-US" w:eastAsia="zh-CN" w:bidi="ar"/>
              </w:rPr>
              <w:t>七、</w:t>
            </w:r>
            <w:r>
              <w:rPr>
                <w:rFonts w:hint="default" w:ascii="宋体" w:hAnsi="宋体" w:eastAsia="方正仿宋_GBK" w:cs="Times New Roman"/>
                <w:b w:val="0"/>
                <w:bCs w:val="0"/>
                <w:i w:val="0"/>
                <w:color w:val="auto"/>
                <w:kern w:val="0"/>
                <w:sz w:val="22"/>
                <w:szCs w:val="22"/>
                <w:u w:val="none"/>
                <w:lang w:val="en-US" w:eastAsia="zh-CN" w:bidi="ar"/>
              </w:rPr>
              <w:t>健全完善协同联动机制</w:t>
            </w:r>
          </w:p>
          <w:p>
            <w:pPr>
              <w:pStyle w:val="2"/>
              <w:numPr>
                <w:ilvl w:val="0"/>
                <w:numId w:val="0"/>
              </w:numPr>
              <w:rPr>
                <w:rFonts w:hint="default" w:ascii="宋体" w:hAnsi="宋体"/>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（二十</w:t>
            </w:r>
            <w:r>
              <w:rPr>
                <w:rFonts w:hint="eastAsia" w:ascii="宋体" w:hAnsi="宋体" w:eastAsia="方正仿宋_GBK" w:cs="Times New Roman"/>
                <w:b w:val="0"/>
                <w:bCs w:val="0"/>
                <w:i w:val="0"/>
                <w:color w:val="auto"/>
                <w:kern w:val="0"/>
                <w:sz w:val="22"/>
                <w:szCs w:val="22"/>
                <w:u w:val="none"/>
                <w:lang w:val="en-US" w:eastAsia="zh-CN" w:bidi="ar"/>
              </w:rPr>
              <w:t>一</w:t>
            </w:r>
            <w:r>
              <w:rPr>
                <w:rFonts w:hint="default" w:ascii="宋体" w:hAnsi="宋体" w:eastAsia="方正仿宋_GBK" w:cs="Times New Roman"/>
                <w:b w:val="0"/>
                <w:bCs w:val="0"/>
                <w:i w:val="0"/>
                <w:color w:val="auto"/>
                <w:kern w:val="0"/>
                <w:sz w:val="22"/>
                <w:szCs w:val="22"/>
                <w:u w:val="none"/>
                <w:lang w:val="en-US" w:eastAsia="zh-CN" w:bidi="ar"/>
              </w:rPr>
              <w:t>）强化医保政策协同</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1.建立健全激励与约束并重的监管机制，更大激发医疗机构规范使用医保基金的内生动力。</w:t>
            </w:r>
          </w:p>
          <w:p>
            <w:pPr>
              <w:keepNext w:val="0"/>
              <w:keepLines w:val="0"/>
              <w:pageBreakBefore w:val="0"/>
              <w:widowControl/>
              <w:suppressLineNumbers w:val="0"/>
              <w:kinsoku/>
              <w:wordWrap/>
              <w:overflowPunct/>
              <w:topLinePunct w:val="0"/>
              <w:autoSpaceDE/>
              <w:autoSpaceDN/>
              <w:bidi w:val="0"/>
              <w:adjustRightInd/>
              <w:snapToGrid/>
              <w:spacing w:line="26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2.常态化推进医疗服务项目申请新增立项，支持新技术临床应用。</w:t>
            </w:r>
          </w:p>
          <w:p>
            <w:pPr>
              <w:keepNext w:val="0"/>
              <w:keepLines w:val="0"/>
              <w:pageBreakBefore w:val="0"/>
              <w:widowControl/>
              <w:suppressLineNumbers w:val="0"/>
              <w:kinsoku/>
              <w:wordWrap/>
              <w:overflowPunct/>
              <w:topLinePunct w:val="0"/>
              <w:autoSpaceDE/>
              <w:autoSpaceDN/>
              <w:bidi w:val="0"/>
              <w:adjustRightInd/>
              <w:snapToGrid/>
              <w:spacing w:line="26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3.每年定期开展医疗服务价格调整综合评估，评估符合调价条件的，及时启动调价工作程序。</w:t>
            </w:r>
          </w:p>
          <w:p>
            <w:pPr>
              <w:keepNext w:val="0"/>
              <w:keepLines w:val="0"/>
              <w:pageBreakBefore w:val="0"/>
              <w:widowControl/>
              <w:suppressLineNumbers w:val="0"/>
              <w:kinsoku/>
              <w:wordWrap/>
              <w:overflowPunct/>
              <w:topLinePunct w:val="0"/>
              <w:autoSpaceDE/>
              <w:autoSpaceDN/>
              <w:bidi w:val="0"/>
              <w:adjustRightInd/>
              <w:snapToGrid/>
              <w:spacing w:line="26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4.深入推进按疾病诊断相关分组（DRG）支付方式改革，加强病组管理，结合本地实际，维护和调整更加贴近本地临床需求的病种分组；加强病组权重管理，充分体现医务人员劳动价值。</w:t>
            </w:r>
          </w:p>
          <w:p>
            <w:pPr>
              <w:keepNext w:val="0"/>
              <w:keepLines w:val="0"/>
              <w:pageBreakBefore w:val="0"/>
              <w:widowControl/>
              <w:suppressLineNumbers w:val="0"/>
              <w:kinsoku/>
              <w:wordWrap/>
              <w:overflowPunct/>
              <w:topLinePunct w:val="0"/>
              <w:autoSpaceDE/>
              <w:autoSpaceDN/>
              <w:bidi w:val="0"/>
              <w:adjustRightInd/>
              <w:snapToGrid/>
              <w:spacing w:line="26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5.探索开展符合中医药服务特点的支付方式改革，中医优势明显、治疗路径清晰、费用明确的中医优势病种，实施按病种付费。</w:t>
            </w:r>
          </w:p>
          <w:p>
            <w:pPr>
              <w:keepNext w:val="0"/>
              <w:keepLines w:val="0"/>
              <w:pageBreakBefore w:val="0"/>
              <w:widowControl/>
              <w:suppressLineNumbers w:val="0"/>
              <w:kinsoku/>
              <w:wordWrap/>
              <w:overflowPunct/>
              <w:topLinePunct w:val="0"/>
              <w:autoSpaceDE/>
              <w:autoSpaceDN/>
              <w:bidi w:val="0"/>
              <w:adjustRightInd/>
              <w:snapToGrid/>
              <w:spacing w:line="26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6.协同推进按床日付费、按人头付费机制改革，加强各种支付方式的针对性、适应性、系统性。</w:t>
            </w:r>
          </w:p>
          <w:p>
            <w:pPr>
              <w:keepNext w:val="0"/>
              <w:keepLines w:val="0"/>
              <w:pageBreakBefore w:val="0"/>
              <w:widowControl/>
              <w:suppressLineNumbers w:val="0"/>
              <w:kinsoku/>
              <w:wordWrap/>
              <w:overflowPunct/>
              <w:topLinePunct w:val="0"/>
              <w:autoSpaceDE/>
              <w:autoSpaceDN/>
              <w:bidi w:val="0"/>
              <w:adjustRightInd/>
              <w:snapToGrid/>
              <w:spacing w:line="26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7.常态化开展药品、医用耗材集中带量采购，及时拨付集中带量采购结余留用资金。</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州医疗保障局、州卫生健康委等按职责分工负责</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相关制度按省级文件要求执行；其他措施2025年底有明显成效，并长期坚持。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3"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2</w:t>
            </w:r>
            <w:r>
              <w:rPr>
                <w:rFonts w:hint="eastAsia" w:ascii="宋体" w:hAnsi="宋体" w:eastAsia="方正仿宋_GBK" w:cs="Times New Roman"/>
                <w:b w:val="0"/>
                <w:bCs w:val="0"/>
                <w:i w:val="0"/>
                <w:color w:val="auto"/>
                <w:kern w:val="0"/>
                <w:sz w:val="22"/>
                <w:szCs w:val="22"/>
                <w:u w:val="none"/>
                <w:lang w:val="en-US" w:eastAsia="zh-CN" w:bidi="ar"/>
              </w:rPr>
              <w:t>2</w:t>
            </w:r>
          </w:p>
        </w:tc>
        <w:tc>
          <w:tcPr>
            <w:tcW w:w="9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（二十</w:t>
            </w:r>
            <w:r>
              <w:rPr>
                <w:rFonts w:hint="eastAsia" w:ascii="宋体" w:hAnsi="宋体" w:eastAsia="方正仿宋_GBK" w:cs="Times New Roman"/>
                <w:b w:val="0"/>
                <w:bCs w:val="0"/>
                <w:i w:val="0"/>
                <w:color w:val="auto"/>
                <w:kern w:val="0"/>
                <w:sz w:val="22"/>
                <w:szCs w:val="22"/>
                <w:u w:val="none"/>
                <w:lang w:val="en-US" w:eastAsia="zh-CN" w:bidi="ar"/>
              </w:rPr>
              <w:t>二</w:t>
            </w:r>
            <w:r>
              <w:rPr>
                <w:rFonts w:hint="default" w:ascii="宋体" w:hAnsi="宋体" w:eastAsia="方正仿宋_GBK" w:cs="Times New Roman"/>
                <w:b w:val="0"/>
                <w:bCs w:val="0"/>
                <w:i w:val="0"/>
                <w:color w:val="auto"/>
                <w:kern w:val="0"/>
                <w:sz w:val="22"/>
                <w:szCs w:val="22"/>
                <w:u w:val="none"/>
                <w:lang w:val="en-US" w:eastAsia="zh-CN" w:bidi="ar"/>
              </w:rPr>
              <w:t>）强化卫生健康与医保部门协同</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 xml:space="preserve">卫生健康部门要加强对定点医疗机构违反诊疗技术规范过度诊疗、不合理医疗检查等行为监管，规范医疗服务行为，促进合理诊疗、合理用药，进一步强化医务人员职业操守和职业道德教育。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2.医保部门要加强规范使用医保基金典型培育力度，选树一批规范使用医保基金的先进典型；对监管过程中发现的诊疗不规范等问题，及时移交卫生健康部门处理。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州卫生健康委、州医疗保障局等按职责分工负责</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及时落实，并长期坚持。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2</w:t>
            </w:r>
            <w:r>
              <w:rPr>
                <w:rFonts w:hint="eastAsia" w:ascii="宋体" w:hAnsi="宋体" w:eastAsia="方正仿宋_GBK" w:cs="Times New Roman"/>
                <w:b w:val="0"/>
                <w:bCs w:val="0"/>
                <w:i w:val="0"/>
                <w:color w:val="auto"/>
                <w:kern w:val="0"/>
                <w:sz w:val="22"/>
                <w:szCs w:val="22"/>
                <w:u w:val="none"/>
                <w:lang w:val="en-US" w:eastAsia="zh-CN" w:bidi="ar"/>
              </w:rPr>
              <w:t>3</w:t>
            </w:r>
          </w:p>
        </w:tc>
        <w:tc>
          <w:tcPr>
            <w:tcW w:w="91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eastAsia" w:ascii="宋体" w:hAnsi="宋体"/>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eastAsia" w:ascii="宋体" w:hAnsi="宋体"/>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eastAsia" w:ascii="宋体" w:hAnsi="宋体"/>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eastAsia" w:ascii="宋体" w:hAnsi="宋体"/>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eastAsia" w:ascii="宋体" w:hAnsi="宋体"/>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eastAsia" w:ascii="宋体" w:hAnsi="宋体"/>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eastAsia" w:ascii="宋体" w:hAnsi="宋体"/>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eastAsia" w:ascii="宋体" w:hAnsi="宋体"/>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eastAsia" w:ascii="宋体" w:hAnsi="宋体" w:eastAsia="方正仿宋_GBK" w:cs="方正仿宋_GBK"/>
                <w:lang w:val="en-US" w:eastAsia="zh-CN"/>
              </w:rPr>
            </w:pPr>
            <w:r>
              <w:rPr>
                <w:rFonts w:hint="eastAsia" w:ascii="宋体" w:hAnsi="宋体" w:eastAsia="方正仿宋_GBK" w:cs="方正仿宋_GBK"/>
                <w:lang w:val="en-US" w:eastAsia="zh-CN"/>
              </w:rPr>
              <w:t>七、健全完善协同联动机制</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outlineLvl w:val="9"/>
              <w:rPr>
                <w:rFonts w:hint="default" w:ascii="宋体" w:hAnsi="宋体"/>
              </w:rPr>
            </w:pPr>
          </w:p>
          <w:p>
            <w:pPr>
              <w:pStyle w:val="2"/>
              <w:rPr>
                <w:rFonts w:hint="default" w:ascii="宋体" w:hAnsi="宋体"/>
              </w:rPr>
            </w:pPr>
          </w:p>
          <w:p>
            <w:pPr>
              <w:pStyle w:val="3"/>
              <w:rPr>
                <w:rFonts w:hint="default" w:ascii="宋体" w:hAnsi="宋体"/>
              </w:rPr>
            </w:pPr>
          </w:p>
          <w:p>
            <w:pPr>
              <w:pStyle w:val="2"/>
              <w:rPr>
                <w:rFonts w:hint="default" w:ascii="宋体" w:hAnsi="宋体"/>
              </w:rPr>
            </w:pPr>
          </w:p>
          <w:p>
            <w:pPr>
              <w:pStyle w:val="3"/>
              <w:rPr>
                <w:rFonts w:hint="default"/>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eastAsia" w:ascii="宋体" w:hAnsi="宋体" w:eastAsia="方正仿宋_GBK" w:cs="Times New Roman"/>
                <w:b w:val="0"/>
                <w:bCs w:val="0"/>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eastAsia" w:ascii="宋体" w:hAnsi="宋体" w:eastAsia="方正仿宋_GBK" w:cs="Times New Roman"/>
                <w:b w:val="0"/>
                <w:bCs w:val="0"/>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rPr>
            </w:pPr>
            <w:r>
              <w:rPr>
                <w:rFonts w:hint="eastAsia" w:ascii="宋体" w:hAnsi="宋体" w:eastAsia="方正仿宋_GBK" w:cs="Times New Roman"/>
                <w:b w:val="0"/>
                <w:bCs w:val="0"/>
                <w:i w:val="0"/>
                <w:color w:val="auto"/>
                <w:kern w:val="0"/>
                <w:sz w:val="22"/>
                <w:szCs w:val="22"/>
                <w:u w:val="none"/>
                <w:lang w:val="en-US" w:eastAsia="zh-CN" w:bidi="ar"/>
              </w:rPr>
              <w:t>七、</w:t>
            </w:r>
            <w:r>
              <w:rPr>
                <w:rFonts w:hint="default" w:ascii="宋体" w:hAnsi="宋体" w:eastAsia="方正仿宋_GBK" w:cs="Times New Roman"/>
                <w:b w:val="0"/>
                <w:bCs w:val="0"/>
                <w:i w:val="0"/>
                <w:color w:val="auto"/>
                <w:kern w:val="0"/>
                <w:sz w:val="22"/>
                <w:szCs w:val="22"/>
                <w:u w:val="none"/>
                <w:lang w:val="en-US" w:eastAsia="zh-CN" w:bidi="ar"/>
              </w:rPr>
              <w:t>健全完善协同联动机制</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（二十</w:t>
            </w:r>
            <w:r>
              <w:rPr>
                <w:rFonts w:hint="eastAsia" w:ascii="宋体" w:hAnsi="宋体" w:eastAsia="方正仿宋_GBK" w:cs="Times New Roman"/>
                <w:b w:val="0"/>
                <w:bCs w:val="0"/>
                <w:i w:val="0"/>
                <w:color w:val="auto"/>
                <w:kern w:val="0"/>
                <w:sz w:val="22"/>
                <w:szCs w:val="22"/>
                <w:u w:val="none"/>
                <w:lang w:val="en-US" w:eastAsia="zh-CN" w:bidi="ar"/>
              </w:rPr>
              <w:t>三</w:t>
            </w:r>
            <w:r>
              <w:rPr>
                <w:rFonts w:hint="default" w:ascii="宋体" w:hAnsi="宋体" w:eastAsia="方正仿宋_GBK" w:cs="Times New Roman"/>
                <w:b w:val="0"/>
                <w:bCs w:val="0"/>
                <w:i w:val="0"/>
                <w:color w:val="auto"/>
                <w:kern w:val="0"/>
                <w:sz w:val="22"/>
                <w:szCs w:val="22"/>
                <w:u w:val="none"/>
                <w:lang w:val="en-US" w:eastAsia="zh-CN" w:bidi="ar"/>
              </w:rPr>
              <w:t>）强化市场监管与医保部门协同</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1.市场监管部门要加强对定点医药机构不按规定明码标价、价格欺诈及自立项目收费、重复收费、分解项目收费等行为监管，涉及医保基金支出的，及时移送医保部门处理；要加强药品、医用耗材流通监管，持续打击非法收购销售医保药品等行为，规范药品、医用耗材经营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2.医保部门要联合市场监管等部门加强对定点医疗机构重复收取患者住院期间已包含在医保服务项目或者组套内的医疗费用监管力度，确保参保群众及时足额享受医保待遇。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州市场监管局、州医疗保障局等按职责分工负责</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及时落实，并长期坚持。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3"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2</w:t>
            </w:r>
            <w:r>
              <w:rPr>
                <w:rFonts w:hint="eastAsia" w:ascii="宋体" w:hAnsi="宋体" w:eastAsia="方正仿宋_GBK" w:cs="Times New Roman"/>
                <w:b w:val="0"/>
                <w:bCs w:val="0"/>
                <w:i w:val="0"/>
                <w:color w:val="auto"/>
                <w:kern w:val="0"/>
                <w:sz w:val="22"/>
                <w:szCs w:val="22"/>
                <w:u w:val="none"/>
                <w:lang w:val="en-US" w:eastAsia="zh-CN" w:bidi="ar"/>
              </w:rPr>
              <w:t>4</w:t>
            </w:r>
          </w:p>
        </w:tc>
        <w:tc>
          <w:tcPr>
            <w:tcW w:w="915"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（二十</w:t>
            </w:r>
            <w:r>
              <w:rPr>
                <w:rFonts w:hint="eastAsia" w:ascii="宋体" w:hAnsi="宋体" w:eastAsia="方正仿宋_GBK" w:cs="Times New Roman"/>
                <w:b w:val="0"/>
                <w:bCs w:val="0"/>
                <w:i w:val="0"/>
                <w:color w:val="auto"/>
                <w:kern w:val="0"/>
                <w:sz w:val="22"/>
                <w:szCs w:val="22"/>
                <w:u w:val="none"/>
                <w:lang w:val="en-US" w:eastAsia="zh-CN" w:bidi="ar"/>
              </w:rPr>
              <w:t>四</w:t>
            </w:r>
            <w:r>
              <w:rPr>
                <w:rFonts w:hint="default" w:ascii="宋体" w:hAnsi="宋体" w:eastAsia="方正仿宋_GBK" w:cs="Times New Roman"/>
                <w:b w:val="0"/>
                <w:bCs w:val="0"/>
                <w:i w:val="0"/>
                <w:color w:val="auto"/>
                <w:kern w:val="0"/>
                <w:sz w:val="22"/>
                <w:szCs w:val="22"/>
                <w:u w:val="none"/>
                <w:lang w:val="en-US" w:eastAsia="zh-CN" w:bidi="ar"/>
              </w:rPr>
              <w:t>）强化行刑衔接</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1.加强医保行政执法和刑事司法事前、事中、事后的有效衔接。对医保部门因调查取证困难，无法查清事实的盗刷医保码（社会保障卡）、贩卖医保药品等骗保行为，以线索移交方式向公安机关报案处理。对医保部门调查完毕并实施行政处罚的案件，涉嫌犯罪的，以行政执法案件形式依法移送公安机关处理。对案情特别复杂，调查取证较为困难的欺诈骗保案件，可由医保、公安部门共同组织人员联合侦办。               </w:t>
            </w:r>
            <w:r>
              <w:rPr>
                <w:rFonts w:hint="default" w:ascii="宋体" w:hAnsi="宋体" w:eastAsia="方正仿宋_GBK" w:cs="Times New Roman"/>
                <w:b w:val="0"/>
                <w:bCs w:val="0"/>
                <w:i w:val="0"/>
                <w:color w:val="auto"/>
                <w:kern w:val="0"/>
                <w:sz w:val="22"/>
                <w:szCs w:val="22"/>
                <w:u w:val="none"/>
                <w:lang w:val="en-US" w:eastAsia="zh-CN" w:bidi="ar"/>
              </w:rPr>
              <w:br w:type="textWrapping"/>
            </w:r>
            <w:r>
              <w:rPr>
                <w:rFonts w:hint="default" w:ascii="宋体" w:hAnsi="宋体" w:eastAsia="方正仿宋_GBK" w:cs="Times New Roman"/>
                <w:b w:val="0"/>
                <w:bCs w:val="0"/>
                <w:i w:val="0"/>
                <w:color w:val="auto"/>
                <w:kern w:val="0"/>
                <w:sz w:val="22"/>
                <w:szCs w:val="22"/>
                <w:u w:val="none"/>
                <w:lang w:val="en-US" w:eastAsia="zh-CN" w:bidi="ar"/>
              </w:rPr>
              <w:t xml:space="preserve">    2.进一步强化刑事司法调查证据和检验、鉴定结果与行政执法案件信息共享共用。                              </w:t>
            </w:r>
            <w:r>
              <w:rPr>
                <w:rFonts w:hint="default" w:ascii="宋体" w:hAnsi="宋体" w:eastAsia="方正仿宋_GBK" w:cs="Times New Roman"/>
                <w:b w:val="0"/>
                <w:bCs w:val="0"/>
                <w:i w:val="0"/>
                <w:color w:val="auto"/>
                <w:kern w:val="0"/>
                <w:sz w:val="22"/>
                <w:szCs w:val="22"/>
                <w:u w:val="none"/>
                <w:lang w:val="en-US" w:eastAsia="zh-CN" w:bidi="ar"/>
              </w:rPr>
              <w:br w:type="textWrapping"/>
            </w:r>
            <w:r>
              <w:rPr>
                <w:rFonts w:hint="default" w:ascii="宋体" w:hAnsi="宋体" w:eastAsia="方正仿宋_GBK" w:cs="Times New Roman"/>
                <w:b w:val="0"/>
                <w:bCs w:val="0"/>
                <w:i w:val="0"/>
                <w:color w:val="auto"/>
                <w:kern w:val="0"/>
                <w:sz w:val="22"/>
                <w:szCs w:val="22"/>
                <w:u w:val="none"/>
                <w:lang w:val="en-US" w:eastAsia="zh-CN" w:bidi="ar"/>
              </w:rPr>
              <w:t xml:space="preserve">    3.检察机关做好骗保类犯罪案件的审查批捕、审查起诉及法律监督工作，加强医保领域行政执法与刑事司法有效衔接。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州医疗保障局、州公安局、州检察院等按职责分工负责</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及时落实，并长期坚持。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2</w:t>
            </w:r>
            <w:r>
              <w:rPr>
                <w:rFonts w:hint="eastAsia" w:ascii="宋体" w:hAnsi="宋体" w:eastAsia="方正仿宋_GBK" w:cs="Times New Roman"/>
                <w:b w:val="0"/>
                <w:bCs w:val="0"/>
                <w:i w:val="0"/>
                <w:color w:val="auto"/>
                <w:kern w:val="0"/>
                <w:sz w:val="22"/>
                <w:szCs w:val="22"/>
                <w:u w:val="none"/>
                <w:lang w:val="en-US" w:eastAsia="zh-CN" w:bidi="ar"/>
              </w:rPr>
              <w:t>5</w:t>
            </w:r>
          </w:p>
        </w:tc>
        <w:tc>
          <w:tcPr>
            <w:tcW w:w="91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（二十</w:t>
            </w:r>
            <w:r>
              <w:rPr>
                <w:rFonts w:hint="eastAsia" w:ascii="宋体" w:hAnsi="宋体" w:eastAsia="方正仿宋_GBK" w:cs="Times New Roman"/>
                <w:b w:val="0"/>
                <w:bCs w:val="0"/>
                <w:i w:val="0"/>
                <w:color w:val="auto"/>
                <w:kern w:val="0"/>
                <w:sz w:val="22"/>
                <w:szCs w:val="22"/>
                <w:u w:val="none"/>
                <w:lang w:val="en-US" w:eastAsia="zh-CN" w:bidi="ar"/>
              </w:rPr>
              <w:t>五</w:t>
            </w:r>
            <w:r>
              <w:rPr>
                <w:rFonts w:hint="default" w:ascii="宋体" w:hAnsi="宋体" w:eastAsia="方正仿宋_GBK" w:cs="Times New Roman"/>
                <w:b w:val="0"/>
                <w:bCs w:val="0"/>
                <w:i w:val="0"/>
                <w:color w:val="auto"/>
                <w:kern w:val="0"/>
                <w:sz w:val="22"/>
                <w:szCs w:val="22"/>
                <w:u w:val="none"/>
                <w:lang w:val="en-US" w:eastAsia="zh-CN" w:bidi="ar"/>
              </w:rPr>
              <w:t>）强化行纪衔接</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1.医保部门在执法过程中，发现党员领导干部存在医保方面涉嫌违纪和职务违法、职务犯罪的问题线索，按程序及时移送纪检监察机关处置。                                               </w:t>
            </w:r>
            <w:r>
              <w:rPr>
                <w:rFonts w:hint="default" w:ascii="宋体" w:hAnsi="宋体" w:eastAsia="方正仿宋_GBK" w:cs="Times New Roman"/>
                <w:b w:val="0"/>
                <w:bCs w:val="0"/>
                <w:i w:val="0"/>
                <w:color w:val="auto"/>
                <w:kern w:val="0"/>
                <w:sz w:val="22"/>
                <w:szCs w:val="22"/>
                <w:u w:val="none"/>
                <w:lang w:val="en-US" w:eastAsia="zh-CN" w:bidi="ar"/>
              </w:rPr>
              <w:br w:type="textWrapping"/>
            </w:r>
            <w:r>
              <w:rPr>
                <w:rFonts w:hint="default" w:ascii="宋体" w:hAnsi="宋体" w:eastAsia="方正仿宋_GBK" w:cs="Times New Roman"/>
                <w:b w:val="0"/>
                <w:bCs w:val="0"/>
                <w:i w:val="0"/>
                <w:color w:val="auto"/>
                <w:kern w:val="0"/>
                <w:sz w:val="22"/>
                <w:szCs w:val="22"/>
                <w:u w:val="none"/>
                <w:lang w:val="en-US" w:eastAsia="zh-CN" w:bidi="ar"/>
              </w:rPr>
              <w:t xml:space="preserve">    2.纪检监察机关在案件查办及线索处置过程中发现造成医保基金损失问题应通报医保部门，由医保部门依法依规挽回损失；巡视巡察机构发现造成医保基金损失的突出问题，应当通报医保部门，医保部门应主动与有关部门对接处置，共同维护医保基金安全。</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州医疗保障局、州纪委监委、州委巡察办等按职责分工负责</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及时落实，并长期坚持。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2</w:t>
            </w:r>
            <w:r>
              <w:rPr>
                <w:rFonts w:hint="eastAsia" w:ascii="宋体" w:hAnsi="宋体" w:eastAsia="方正仿宋_GBK" w:cs="Times New Roman"/>
                <w:b w:val="0"/>
                <w:bCs w:val="0"/>
                <w:i w:val="0"/>
                <w:color w:val="auto"/>
                <w:kern w:val="0"/>
                <w:sz w:val="22"/>
                <w:szCs w:val="22"/>
                <w:u w:val="none"/>
                <w:lang w:val="en-US" w:eastAsia="zh-CN" w:bidi="ar"/>
              </w:rPr>
              <w:t>6</w:t>
            </w:r>
          </w:p>
        </w:tc>
        <w:tc>
          <w:tcPr>
            <w:tcW w:w="9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（二十</w:t>
            </w:r>
            <w:r>
              <w:rPr>
                <w:rFonts w:hint="eastAsia" w:ascii="宋体" w:hAnsi="宋体" w:eastAsia="方正仿宋_GBK" w:cs="Times New Roman"/>
                <w:b w:val="0"/>
                <w:bCs w:val="0"/>
                <w:i w:val="0"/>
                <w:color w:val="auto"/>
                <w:kern w:val="0"/>
                <w:sz w:val="22"/>
                <w:szCs w:val="22"/>
                <w:u w:val="none"/>
                <w:lang w:val="en-US" w:eastAsia="zh-CN" w:bidi="ar"/>
              </w:rPr>
              <w:t>六</w:t>
            </w:r>
            <w:r>
              <w:rPr>
                <w:rFonts w:hint="default" w:ascii="宋体" w:hAnsi="宋体" w:eastAsia="方正仿宋_GBK" w:cs="Times New Roman"/>
                <w:b w:val="0"/>
                <w:bCs w:val="0"/>
                <w:i w:val="0"/>
                <w:color w:val="auto"/>
                <w:kern w:val="0"/>
                <w:sz w:val="22"/>
                <w:szCs w:val="22"/>
                <w:u w:val="none"/>
                <w:lang w:val="en-US" w:eastAsia="zh-CN" w:bidi="ar"/>
              </w:rPr>
              <w:t>）强化综合监管</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ind w:left="0" w:leftChars="0"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 xml:space="preserve">建立医保基金使用跨部门综合监管机制，医保部门要加强与金融监管、税务、法院等部门的信息共享、线索互移、标准互认、执法联动、结果互通，形成监管合力。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2.对于未纳入医保服务协议管理，但其行为与医保基金使用密切相关、影响基金合理使用的机构，要按照“谁审批、谁监管，谁主管、谁监管”的原则，落实监管责任。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w w:val="90"/>
                <w:kern w:val="0"/>
                <w:sz w:val="22"/>
                <w:szCs w:val="22"/>
                <w:u w:val="none"/>
                <w:lang w:val="en-US" w:eastAsia="zh-CN" w:bidi="ar"/>
              </w:rPr>
              <w:t>州医疗保障局、国家金融监督管理总局</w:t>
            </w:r>
            <w:r>
              <w:rPr>
                <w:rFonts w:hint="eastAsia" w:ascii="宋体" w:hAnsi="宋体" w:eastAsia="方正仿宋_GBK" w:cs="Times New Roman"/>
                <w:b w:val="0"/>
                <w:bCs w:val="0"/>
                <w:i w:val="0"/>
                <w:color w:val="auto"/>
                <w:w w:val="90"/>
                <w:kern w:val="0"/>
                <w:sz w:val="22"/>
                <w:szCs w:val="22"/>
                <w:u w:val="none"/>
                <w:lang w:val="en-US" w:eastAsia="zh-CN" w:bidi="ar"/>
              </w:rPr>
              <w:t>大理</w:t>
            </w:r>
            <w:r>
              <w:rPr>
                <w:rFonts w:hint="default" w:ascii="宋体" w:hAnsi="宋体" w:eastAsia="方正仿宋_GBK" w:cs="Times New Roman"/>
                <w:b w:val="0"/>
                <w:bCs w:val="0"/>
                <w:i w:val="0"/>
                <w:color w:val="auto"/>
                <w:w w:val="90"/>
                <w:kern w:val="0"/>
                <w:sz w:val="22"/>
                <w:szCs w:val="22"/>
                <w:u w:val="none"/>
                <w:lang w:val="en-US" w:eastAsia="zh-CN" w:bidi="ar"/>
              </w:rPr>
              <w:t>监管分局、州税务局、州法院等按职责分工负责</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及时落实，并长期坚持。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5"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2</w:t>
            </w:r>
            <w:r>
              <w:rPr>
                <w:rFonts w:hint="eastAsia" w:ascii="宋体" w:hAnsi="宋体" w:eastAsia="方正仿宋_GBK" w:cs="Times New Roman"/>
                <w:b w:val="0"/>
                <w:bCs w:val="0"/>
                <w:i w:val="0"/>
                <w:color w:val="auto"/>
                <w:kern w:val="0"/>
                <w:sz w:val="22"/>
                <w:szCs w:val="22"/>
                <w:u w:val="none"/>
                <w:lang w:val="en-US" w:eastAsia="zh-CN" w:bidi="ar"/>
              </w:rPr>
              <w:t>7</w:t>
            </w:r>
          </w:p>
        </w:tc>
        <w:tc>
          <w:tcPr>
            <w:tcW w:w="91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eastAsia" w:ascii="宋体" w:hAnsi="宋体" w:eastAsia="方正仿宋_GBK" w:cs="Times New Roman"/>
                <w:b w:val="0"/>
                <w:bCs w:val="0"/>
                <w:i w:val="0"/>
                <w:color w:val="auto"/>
                <w:kern w:val="0"/>
                <w:sz w:val="22"/>
                <w:szCs w:val="22"/>
                <w:u w:val="none"/>
                <w:lang w:val="en-US" w:eastAsia="zh-CN" w:bidi="ar"/>
              </w:rPr>
              <w:t>八、</w:t>
            </w:r>
            <w:r>
              <w:rPr>
                <w:rFonts w:hint="default" w:ascii="宋体" w:hAnsi="宋体" w:eastAsia="方正仿宋_GBK" w:cs="Times New Roman"/>
                <w:b w:val="0"/>
                <w:bCs w:val="0"/>
                <w:i w:val="0"/>
                <w:color w:val="auto"/>
                <w:kern w:val="0"/>
                <w:sz w:val="22"/>
                <w:szCs w:val="22"/>
                <w:u w:val="none"/>
                <w:lang w:val="en-US" w:eastAsia="zh-CN" w:bidi="ar"/>
              </w:rPr>
              <w:t>强化保障措施</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（二十</w:t>
            </w:r>
            <w:r>
              <w:rPr>
                <w:rFonts w:hint="eastAsia" w:ascii="宋体" w:hAnsi="宋体" w:eastAsia="方正仿宋_GBK" w:cs="Times New Roman"/>
                <w:b w:val="0"/>
                <w:bCs w:val="0"/>
                <w:i w:val="0"/>
                <w:color w:val="auto"/>
                <w:kern w:val="0"/>
                <w:sz w:val="22"/>
                <w:szCs w:val="22"/>
                <w:u w:val="none"/>
                <w:lang w:val="en-US" w:eastAsia="zh-CN" w:bidi="ar"/>
              </w:rPr>
              <w:t>七</w:t>
            </w:r>
            <w:r>
              <w:rPr>
                <w:rFonts w:hint="default" w:ascii="宋体" w:hAnsi="宋体" w:eastAsia="方正仿宋_GBK" w:cs="Times New Roman"/>
                <w:b w:val="0"/>
                <w:bCs w:val="0"/>
                <w:i w:val="0"/>
                <w:color w:val="auto"/>
                <w:kern w:val="0"/>
                <w:sz w:val="22"/>
                <w:szCs w:val="22"/>
                <w:u w:val="none"/>
                <w:lang w:val="en-US" w:eastAsia="zh-CN" w:bidi="ar"/>
              </w:rPr>
              <w:t>）加强组织领导</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eastAsia" w:ascii="宋体" w:hAnsi="宋体" w:eastAsia="方正仿宋_GBK" w:cs="Times New Roman"/>
                <w:b w:val="0"/>
                <w:bCs w:val="0"/>
                <w:i w:val="0"/>
                <w:color w:val="auto"/>
                <w:kern w:val="0"/>
                <w:sz w:val="22"/>
                <w:szCs w:val="22"/>
                <w:u w:val="none"/>
                <w:lang w:val="en-US" w:eastAsia="zh-CN" w:bidi="ar"/>
              </w:rPr>
              <w:t>1.</w:t>
            </w:r>
            <w:r>
              <w:rPr>
                <w:rFonts w:hint="default" w:ascii="宋体" w:hAnsi="宋体" w:eastAsia="方正仿宋_GBK" w:cs="Times New Roman"/>
                <w:b w:val="0"/>
                <w:bCs w:val="0"/>
                <w:i w:val="0"/>
                <w:color w:val="auto"/>
                <w:kern w:val="0"/>
                <w:sz w:val="22"/>
                <w:szCs w:val="22"/>
                <w:u w:val="none"/>
                <w:lang w:val="en-US" w:eastAsia="zh-CN" w:bidi="ar"/>
              </w:rPr>
              <w:t>各地各有关部门要加强医保基金使用常态化监管工作的组织领导，</w:t>
            </w:r>
            <w:r>
              <w:rPr>
                <w:rFonts w:hint="eastAsia" w:ascii="宋体" w:hAnsi="宋体" w:eastAsia="方正仿宋_GBK" w:cs="Times New Roman"/>
                <w:b w:val="0"/>
                <w:bCs w:val="0"/>
                <w:i w:val="0"/>
                <w:color w:val="auto"/>
                <w:kern w:val="0"/>
                <w:sz w:val="22"/>
                <w:szCs w:val="22"/>
                <w:highlight w:val="none"/>
                <w:u w:val="none"/>
                <w:lang w:val="en-US" w:eastAsia="zh-CN" w:bidi="ar"/>
              </w:rPr>
              <w:t>纳入年度综合考核</w:t>
            </w:r>
            <w:r>
              <w:rPr>
                <w:rFonts w:hint="eastAsia" w:ascii="宋体" w:hAnsi="宋体" w:eastAsia="方正仿宋_GBK" w:cs="Times New Roman"/>
                <w:b w:val="0"/>
                <w:bCs w:val="0"/>
                <w:i w:val="0"/>
                <w:color w:val="auto"/>
                <w:kern w:val="0"/>
                <w:sz w:val="22"/>
                <w:szCs w:val="22"/>
                <w:u w:val="none"/>
                <w:lang w:val="en-US" w:eastAsia="zh-CN" w:bidi="ar"/>
              </w:rPr>
              <w:t>，</w:t>
            </w:r>
            <w:r>
              <w:rPr>
                <w:rFonts w:hint="default" w:ascii="宋体" w:hAnsi="宋体" w:eastAsia="方正仿宋_GBK" w:cs="Times New Roman"/>
                <w:b w:val="0"/>
                <w:bCs w:val="0"/>
                <w:i w:val="0"/>
                <w:color w:val="auto"/>
                <w:kern w:val="0"/>
                <w:sz w:val="22"/>
                <w:szCs w:val="22"/>
                <w:u w:val="none"/>
                <w:lang w:val="en-US" w:eastAsia="zh-CN" w:bidi="ar"/>
              </w:rPr>
              <w:t>统筹推进各项工作。各县市人民政府要对本行政区域内医保基金使用常态化监管工作负领导责任，统筹各部门资源，形成监管合力，进一步完善医保基金使用监管机制和执法体制，组织督促所属有关部门和下级政府认真履行监管职责，积极推进跨部门综合监管，及时协调解决监管工作中的重大问题，为医保基金使用常态化监管工作提供有力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eastAsia" w:ascii="宋体" w:hAnsi="宋体" w:eastAsia="方正仿宋_GBK" w:cs="Times New Roman"/>
                <w:b w:val="0"/>
                <w:bCs w:val="0"/>
                <w:i w:val="0"/>
                <w:color w:val="auto"/>
                <w:kern w:val="0"/>
                <w:sz w:val="22"/>
                <w:szCs w:val="22"/>
                <w:u w:val="none"/>
                <w:lang w:val="en-US" w:eastAsia="zh-CN" w:bidi="ar"/>
              </w:rPr>
              <w:t>2.</w:t>
            </w:r>
            <w:r>
              <w:rPr>
                <w:rFonts w:hint="default" w:ascii="宋体" w:hAnsi="宋体" w:eastAsia="方正仿宋_GBK" w:cs="Times New Roman"/>
                <w:b w:val="0"/>
                <w:bCs w:val="0"/>
                <w:i w:val="0"/>
                <w:color w:val="auto"/>
                <w:kern w:val="0"/>
                <w:sz w:val="22"/>
                <w:szCs w:val="22"/>
                <w:u w:val="none"/>
                <w:lang w:val="en-US" w:eastAsia="zh-CN" w:bidi="ar"/>
              </w:rPr>
              <w:t xml:space="preserve">进一步整合乡镇（街道）执法资源，依法将医保基金监管纳入乡镇人民政府综合监管体系，充实执法力量，有效维护医保基金安全。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州医疗保障局、州司法局等按职责分工负责</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2024年底有明显成效，并长期坚持。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2</w:t>
            </w:r>
            <w:r>
              <w:rPr>
                <w:rFonts w:hint="eastAsia" w:ascii="宋体" w:hAnsi="宋体" w:eastAsia="方正仿宋_GBK" w:cs="Times New Roman"/>
                <w:b w:val="0"/>
                <w:bCs w:val="0"/>
                <w:i w:val="0"/>
                <w:color w:val="auto"/>
                <w:kern w:val="0"/>
                <w:sz w:val="22"/>
                <w:szCs w:val="22"/>
                <w:u w:val="none"/>
                <w:lang w:val="en-US" w:eastAsia="zh-CN" w:bidi="ar"/>
              </w:rPr>
              <w:t>8</w:t>
            </w:r>
          </w:p>
        </w:tc>
        <w:tc>
          <w:tcPr>
            <w:tcW w:w="91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（二十</w:t>
            </w:r>
            <w:r>
              <w:rPr>
                <w:rFonts w:hint="eastAsia" w:ascii="宋体" w:hAnsi="宋体" w:eastAsia="方正仿宋_GBK" w:cs="Times New Roman"/>
                <w:b w:val="0"/>
                <w:bCs w:val="0"/>
                <w:i w:val="0"/>
                <w:color w:val="auto"/>
                <w:kern w:val="0"/>
                <w:sz w:val="22"/>
                <w:szCs w:val="22"/>
                <w:u w:val="none"/>
                <w:lang w:val="en-US" w:eastAsia="zh-CN" w:bidi="ar"/>
              </w:rPr>
              <w:t>八</w:t>
            </w:r>
            <w:r>
              <w:rPr>
                <w:rFonts w:hint="default" w:ascii="宋体" w:hAnsi="宋体" w:eastAsia="方正仿宋_GBK" w:cs="Times New Roman"/>
                <w:b w:val="0"/>
                <w:bCs w:val="0"/>
                <w:i w:val="0"/>
                <w:color w:val="auto"/>
                <w:kern w:val="0"/>
                <w:sz w:val="22"/>
                <w:szCs w:val="22"/>
                <w:u w:val="none"/>
                <w:lang w:val="en-US" w:eastAsia="zh-CN" w:bidi="ar"/>
              </w:rPr>
              <w:t>）强化责任追究</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各级医保行政部门要落实监管责任，医保经办机构要落实审核查验责任，定点医药机构要落实自我管理主体责任，行业主管部门要落实主管责任。对履职不到位、监管不力、执法不严导致医保基金安全存在重大风险隐患或者造成严重后果的，以及在监管工作中滥用职权、玩忽职守、徇私舞弊的，要严肃追责问责。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lang w:val="en-US" w:eastAsia="zh-CN"/>
              </w:rPr>
            </w:pPr>
            <w:r>
              <w:rPr>
                <w:rFonts w:hint="default" w:ascii="宋体" w:hAnsi="宋体" w:eastAsia="方正仿宋_GBK" w:cs="Times New Roman"/>
                <w:b w:val="0"/>
                <w:bCs w:val="0"/>
                <w:i w:val="0"/>
                <w:color w:val="auto"/>
                <w:sz w:val="22"/>
                <w:szCs w:val="22"/>
                <w:u w:val="none"/>
                <w:lang w:val="en-US" w:eastAsia="zh-CN"/>
              </w:rPr>
              <w:t>州医疗保障局</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及时落实，并长期坚持。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5"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lang w:val="en-US"/>
              </w:rPr>
            </w:pPr>
            <w:r>
              <w:rPr>
                <w:rFonts w:hint="eastAsia" w:ascii="宋体" w:hAnsi="宋体" w:eastAsia="方正仿宋_GBK" w:cs="Times New Roman"/>
                <w:b w:val="0"/>
                <w:bCs w:val="0"/>
                <w:i w:val="0"/>
                <w:color w:val="auto"/>
                <w:kern w:val="0"/>
                <w:sz w:val="22"/>
                <w:szCs w:val="22"/>
                <w:u w:val="none"/>
                <w:lang w:val="en-US" w:eastAsia="zh-CN" w:bidi="ar"/>
              </w:rPr>
              <w:t>29</w:t>
            </w:r>
          </w:p>
        </w:tc>
        <w:tc>
          <w:tcPr>
            <w:tcW w:w="91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w:t>
            </w:r>
            <w:r>
              <w:rPr>
                <w:rFonts w:hint="eastAsia" w:ascii="宋体" w:hAnsi="宋体" w:eastAsia="方正仿宋_GBK" w:cs="Times New Roman"/>
                <w:b w:val="0"/>
                <w:bCs w:val="0"/>
                <w:i w:val="0"/>
                <w:color w:val="auto"/>
                <w:kern w:val="0"/>
                <w:sz w:val="22"/>
                <w:szCs w:val="22"/>
                <w:u w:val="none"/>
                <w:lang w:val="en-US" w:eastAsia="zh-CN" w:bidi="ar"/>
              </w:rPr>
              <w:t>二</w:t>
            </w:r>
            <w:r>
              <w:rPr>
                <w:rFonts w:hint="default" w:ascii="宋体" w:hAnsi="宋体" w:eastAsia="方正仿宋_GBK" w:cs="Times New Roman"/>
                <w:b w:val="0"/>
                <w:bCs w:val="0"/>
                <w:i w:val="0"/>
                <w:color w:val="auto"/>
                <w:kern w:val="0"/>
                <w:sz w:val="22"/>
                <w:szCs w:val="22"/>
                <w:u w:val="none"/>
                <w:lang w:val="en-US" w:eastAsia="zh-CN" w:bidi="ar"/>
              </w:rPr>
              <w:t>十</w:t>
            </w:r>
            <w:r>
              <w:rPr>
                <w:rFonts w:hint="eastAsia" w:ascii="宋体" w:hAnsi="宋体" w:eastAsia="方正仿宋_GBK" w:cs="Times New Roman"/>
                <w:b w:val="0"/>
                <w:bCs w:val="0"/>
                <w:i w:val="0"/>
                <w:color w:val="auto"/>
                <w:kern w:val="0"/>
                <w:sz w:val="22"/>
                <w:szCs w:val="22"/>
                <w:u w:val="none"/>
                <w:lang w:val="en-US" w:eastAsia="zh-CN" w:bidi="ar"/>
              </w:rPr>
              <w:t>九</w:t>
            </w:r>
            <w:r>
              <w:rPr>
                <w:rFonts w:hint="default" w:ascii="宋体" w:hAnsi="宋体" w:eastAsia="方正仿宋_GBK" w:cs="Times New Roman"/>
                <w:b w:val="0"/>
                <w:bCs w:val="0"/>
                <w:i w:val="0"/>
                <w:color w:val="auto"/>
                <w:kern w:val="0"/>
                <w:sz w:val="22"/>
                <w:szCs w:val="22"/>
                <w:u w:val="none"/>
                <w:lang w:val="en-US" w:eastAsia="zh-CN" w:bidi="ar"/>
              </w:rPr>
              <w:t>）提升监管能力</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w:t>
            </w:r>
            <w:r>
              <w:rPr>
                <w:rFonts w:hint="eastAsia" w:ascii="宋体" w:hAnsi="宋体" w:eastAsia="方正仿宋_GBK" w:cs="Times New Roman"/>
                <w:b w:val="0"/>
                <w:bCs w:val="0"/>
                <w:i w:val="0"/>
                <w:color w:val="auto"/>
                <w:kern w:val="0"/>
                <w:sz w:val="22"/>
                <w:szCs w:val="22"/>
                <w:u w:val="none"/>
                <w:lang w:val="en-US" w:eastAsia="zh-CN" w:bidi="ar"/>
              </w:rPr>
              <w:t>级</w:t>
            </w:r>
            <w:r>
              <w:rPr>
                <w:rFonts w:hint="default" w:ascii="宋体" w:hAnsi="宋体" w:eastAsia="方正仿宋_GBK" w:cs="Times New Roman"/>
                <w:b w:val="0"/>
                <w:bCs w:val="0"/>
                <w:i w:val="0"/>
                <w:color w:val="auto"/>
                <w:kern w:val="0"/>
                <w:sz w:val="22"/>
                <w:szCs w:val="22"/>
                <w:u w:val="none"/>
                <w:lang w:val="en-US" w:eastAsia="zh-CN" w:bidi="ar"/>
              </w:rPr>
              <w:t xml:space="preserve">各有关部门要加强监管能力建设，加大人员、车辆、装备、技术、经费等方面的支持力度。财政部门要将基金监管工作经费、举报奖励资金等经费纳入本级政府财政年度预算。要建立健全监管人员考核考勤、岗位设置、岗位晋升等各项制度，不断提升医保基金监管规范化水平。常态化开展基金监管工作人员业务培训，提升基金监管队伍执法能力和水平。                                                           </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 xml:space="preserve">州医疗保障局、州财政局、州人社局等按职责分工负责            </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及时落实，并长期坚持。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3</w:t>
            </w:r>
            <w:r>
              <w:rPr>
                <w:rFonts w:hint="eastAsia" w:ascii="宋体" w:hAnsi="宋体" w:eastAsia="方正仿宋_GBK" w:cs="Times New Roman"/>
                <w:b w:val="0"/>
                <w:bCs w:val="0"/>
                <w:i w:val="0"/>
                <w:color w:val="auto"/>
                <w:kern w:val="0"/>
                <w:sz w:val="22"/>
                <w:szCs w:val="22"/>
                <w:u w:val="none"/>
                <w:lang w:val="en-US" w:eastAsia="zh-CN" w:bidi="ar"/>
              </w:rPr>
              <w:t>0</w:t>
            </w:r>
          </w:p>
        </w:tc>
        <w:tc>
          <w:tcPr>
            <w:tcW w:w="91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outlineLvl w:val="9"/>
              <w:rPr>
                <w:rFonts w:hint="default" w:ascii="宋体" w:hAnsi="宋体" w:eastAsia="方正仿宋_GBK" w:cs="Times New Roman"/>
                <w:b w:val="0"/>
                <w:bCs w:val="0"/>
                <w:i w:val="0"/>
                <w:color w:val="auto"/>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（三十）加强政策宣传</w:t>
            </w:r>
          </w:p>
        </w:tc>
        <w:tc>
          <w:tcPr>
            <w:tcW w:w="8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440" w:firstLineChars="200"/>
              <w:jc w:val="left"/>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w:t>
            </w:r>
            <w:r>
              <w:rPr>
                <w:rFonts w:hint="eastAsia" w:ascii="宋体" w:hAnsi="宋体" w:eastAsia="方正仿宋_GBK" w:cs="Times New Roman"/>
                <w:b w:val="0"/>
                <w:bCs w:val="0"/>
                <w:i w:val="0"/>
                <w:color w:val="auto"/>
                <w:kern w:val="0"/>
                <w:sz w:val="22"/>
                <w:szCs w:val="22"/>
                <w:u w:val="none"/>
                <w:lang w:val="en-US" w:eastAsia="zh-CN" w:bidi="ar"/>
              </w:rPr>
              <w:t>级</w:t>
            </w:r>
            <w:r>
              <w:rPr>
                <w:rFonts w:hint="default" w:ascii="宋体" w:hAnsi="宋体" w:eastAsia="方正仿宋_GBK" w:cs="Times New Roman"/>
                <w:b w:val="0"/>
                <w:bCs w:val="0"/>
                <w:i w:val="0"/>
                <w:color w:val="auto"/>
                <w:kern w:val="0"/>
                <w:sz w:val="22"/>
                <w:szCs w:val="22"/>
                <w:u w:val="none"/>
                <w:lang w:val="en-US" w:eastAsia="zh-CN" w:bidi="ar"/>
              </w:rPr>
              <w:t>各有关部门要持续加强对定点医药机构及其从业人员的政策法规培训和宣传教育，强化定点医药机构规范使用医保基金意识。加强医保政策宣传解读，持续做好集中宣传月工作，常态化开展维护医保基金安全宣传教育，营造全社会维护医保基金安全的良好氛围。</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outlineLvl w:val="9"/>
              <w:rPr>
                <w:rFonts w:hint="default" w:ascii="宋体" w:hAnsi="宋体" w:eastAsia="方正仿宋_GBK" w:cs="Times New Roman"/>
                <w:b w:val="0"/>
                <w:bCs w:val="0"/>
                <w:i w:val="0"/>
                <w:color w:val="auto"/>
                <w:sz w:val="22"/>
                <w:szCs w:val="22"/>
                <w:u w:val="none"/>
                <w:lang w:val="en-US"/>
              </w:rPr>
            </w:pPr>
            <w:r>
              <w:rPr>
                <w:rFonts w:hint="default" w:ascii="宋体" w:hAnsi="宋体" w:eastAsia="方正仿宋_GBK" w:cs="Times New Roman"/>
                <w:b w:val="0"/>
                <w:bCs w:val="0"/>
                <w:i w:val="0"/>
                <w:color w:val="auto"/>
                <w:kern w:val="0"/>
                <w:sz w:val="22"/>
                <w:szCs w:val="22"/>
                <w:u w:val="none"/>
                <w:lang w:val="en-US" w:eastAsia="zh-CN" w:bidi="ar"/>
              </w:rPr>
              <w:t>州医疗保障局</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default" w:ascii="宋体" w:hAnsi="宋体" w:eastAsia="方正仿宋_GBK" w:cs="Times New Roman"/>
                <w:b w:val="0"/>
                <w:bCs w:val="0"/>
                <w:i w:val="0"/>
                <w:color w:val="auto"/>
                <w:sz w:val="22"/>
                <w:szCs w:val="22"/>
                <w:u w:val="none"/>
              </w:rPr>
            </w:pPr>
            <w:r>
              <w:rPr>
                <w:rFonts w:hint="default" w:ascii="宋体" w:hAnsi="宋体" w:eastAsia="方正仿宋_GBK" w:cs="Times New Roman"/>
                <w:b w:val="0"/>
                <w:bCs w:val="0"/>
                <w:i w:val="0"/>
                <w:color w:val="auto"/>
                <w:kern w:val="0"/>
                <w:sz w:val="22"/>
                <w:szCs w:val="22"/>
                <w:u w:val="none"/>
                <w:lang w:val="en-US" w:eastAsia="zh-CN" w:bidi="ar"/>
              </w:rPr>
              <w:t>各县市人民政府</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default" w:ascii="宋体" w:hAnsi="宋体" w:eastAsia="方正仿宋_GBK" w:cs="Times New Roman"/>
                <w:b w:val="0"/>
                <w:bCs w:val="0"/>
                <w:i w:val="0"/>
                <w:color w:val="auto"/>
                <w:kern w:val="0"/>
                <w:sz w:val="22"/>
                <w:szCs w:val="22"/>
                <w:u w:val="none"/>
                <w:lang w:val="en-US" w:eastAsia="zh-CN" w:bidi="ar"/>
              </w:rPr>
            </w:pPr>
            <w:r>
              <w:rPr>
                <w:rFonts w:hint="default" w:ascii="宋体" w:hAnsi="宋体" w:eastAsia="方正仿宋_GBK" w:cs="Times New Roman"/>
                <w:b w:val="0"/>
                <w:bCs w:val="0"/>
                <w:i w:val="0"/>
                <w:color w:val="auto"/>
                <w:kern w:val="0"/>
                <w:sz w:val="22"/>
                <w:szCs w:val="22"/>
                <w:u w:val="none"/>
                <w:lang w:val="en-US" w:eastAsia="zh-CN" w:bidi="ar"/>
              </w:rPr>
              <w:t>及时落实，并长期坚持。</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90BDC"/>
    <w:multiLevelType w:val="singleLevel"/>
    <w:tmpl w:val="65790BDC"/>
    <w:lvl w:ilvl="0" w:tentative="0">
      <w:start w:val="1"/>
      <w:numFmt w:val="decimal"/>
      <w:suff w:val="nothing"/>
      <w:lvlText w:val="%1."/>
      <w:lvlJc w:val="left"/>
    </w:lvl>
  </w:abstractNum>
  <w:abstractNum w:abstractNumId="1">
    <w:nsid w:val="65790C07"/>
    <w:multiLevelType w:val="singleLevel"/>
    <w:tmpl w:val="65790C07"/>
    <w:lvl w:ilvl="0" w:tentative="0">
      <w:start w:val="1"/>
      <w:numFmt w:val="decimal"/>
      <w:suff w:val="nothing"/>
      <w:lvlText w:val="%1."/>
      <w:lvlJc w:val="left"/>
    </w:lvl>
  </w:abstractNum>
  <w:abstractNum w:abstractNumId="2">
    <w:nsid w:val="65790C76"/>
    <w:multiLevelType w:val="singleLevel"/>
    <w:tmpl w:val="65790C7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D49EE"/>
    <w:rsid w:val="648D49EE"/>
    <w:rsid w:val="74B047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itle"/>
    <w:basedOn w:val="1"/>
    <w:next w:val="1"/>
    <w:qFormat/>
    <w:uiPriority w:val="0"/>
    <w:pPr>
      <w:jc w:val="center"/>
      <w:outlineLvl w:val="0"/>
    </w:pPr>
    <w:rPr>
      <w:rFonts w:ascii="方正小标宋简体" w:hAnsi="方正小标宋简体" w:eastAsia="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2024-05-09T06:20:00Z</dcterms:created>
  <dc:creator>王春鹏</dc:creator>
  <cp:lastModifiedBy>王春鹏</cp:lastModifiedBy>
  <dcterms:modified xsi:type="dcterms:W3CDTF">2024-05-09T06:34:51Z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598B3C213050419FBEEAB2ACC5858B2E</vt:lpwstr>
  </property>
</Properties>
</file>