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ind w:right="21" w:rightChars="10"/>
        <w:rPr>
          <w:rFonts w:ascii="宋体" w:hAnsi="宋体" w:eastAsia="仿宋_GB2312" w:cs="仿宋_GB2312"/>
          <w:sz w:val="32"/>
          <w:szCs w:val="32"/>
        </w:rPr>
      </w:pPr>
    </w:p>
    <w:p>
      <w:pPr>
        <w:snapToGrid w:val="0"/>
        <w:spacing w:line="600" w:lineRule="exact"/>
        <w:ind w:right="21" w:rightChars="10"/>
        <w:rPr>
          <w:rFonts w:ascii="宋体" w:hAnsi="宋体" w:eastAsia="仿宋_GB2312" w:cs="仿宋_GB2312"/>
          <w:sz w:val="32"/>
          <w:szCs w:val="32"/>
        </w:rPr>
      </w:pPr>
    </w:p>
    <w:p>
      <w:pPr>
        <w:snapToGrid w:val="0"/>
        <w:spacing w:line="600" w:lineRule="exact"/>
        <w:ind w:right="21" w:rightChars="10"/>
        <w:rPr>
          <w:rFonts w:ascii="宋体" w:hAnsi="宋体" w:eastAsia="仿宋_GB2312" w:cs="仿宋_GB2312"/>
          <w:sz w:val="32"/>
          <w:szCs w:val="32"/>
        </w:rPr>
      </w:pPr>
    </w:p>
    <w:p>
      <w:pPr>
        <w:snapToGrid w:val="0"/>
        <w:spacing w:line="600" w:lineRule="exact"/>
        <w:ind w:right="21" w:rightChars="10"/>
        <w:rPr>
          <w:rFonts w:ascii="宋体" w:hAnsi="宋体" w:eastAsia="仿宋_GB2312" w:cs="仿宋_GB2312"/>
          <w:sz w:val="32"/>
          <w:szCs w:val="32"/>
        </w:rPr>
      </w:pPr>
    </w:p>
    <w:p>
      <w:pPr>
        <w:snapToGrid w:val="0"/>
        <w:spacing w:line="600" w:lineRule="exact"/>
        <w:ind w:right="21" w:rightChars="10"/>
        <w:rPr>
          <w:rFonts w:ascii="宋体" w:hAnsi="宋体" w:eastAsia="仿宋_GB2312" w:cs="仿宋_GB2312"/>
          <w:sz w:val="32"/>
          <w:szCs w:val="32"/>
        </w:rPr>
      </w:pPr>
    </w:p>
    <w:p>
      <w:pPr>
        <w:snapToGrid w:val="0"/>
        <w:spacing w:line="600" w:lineRule="exact"/>
        <w:ind w:right="21" w:rightChars="10"/>
        <w:rPr>
          <w:rFonts w:ascii="宋体" w:hAnsi="宋体" w:eastAsia="仿宋_GB2312" w:cs="仿宋_GB2312"/>
          <w:sz w:val="32"/>
          <w:szCs w:val="32"/>
        </w:rPr>
      </w:pPr>
    </w:p>
    <w:p>
      <w:pPr>
        <w:snapToGrid w:val="0"/>
        <w:spacing w:line="600" w:lineRule="exact"/>
        <w:ind w:right="21" w:rightChars="10"/>
        <w:jc w:val="left"/>
        <w:rPr>
          <w:rFonts w:ascii="宋体" w:hAnsi="宋体" w:eastAsia="仿宋_GB2312" w:cs="仿宋_GB2312"/>
          <w:b/>
          <w:sz w:val="32"/>
          <w:szCs w:val="32"/>
        </w:rPr>
      </w:pPr>
    </w:p>
    <w:p>
      <w:pPr>
        <w:snapToGrid w:val="0"/>
        <w:spacing w:line="600" w:lineRule="exact"/>
        <w:ind w:right="21" w:rightChars="10"/>
        <w:jc w:val="center"/>
        <w:rPr>
          <w:rFonts w:ascii="宋体" w:hAnsi="宋体" w:eastAsia="仿宋_GB2312" w:cs="仿宋_GB2312"/>
          <w:sz w:val="32"/>
          <w:szCs w:val="32"/>
        </w:rPr>
      </w:pPr>
      <w:r>
        <w:rPr>
          <w:rFonts w:hint="eastAsia" w:ascii="宋体" w:hAnsi="宋体" w:eastAsia="仿宋_GB2312" w:cs="仿宋_GB2312"/>
          <w:sz w:val="32"/>
          <w:szCs w:val="32"/>
        </w:rPr>
        <w:t>大环</w:t>
      </w:r>
      <w:r>
        <w:rPr>
          <w:rFonts w:hint="eastAsia" w:ascii="宋体" w:hAnsi="宋体" w:eastAsia="仿宋_GB2312" w:cs="仿宋_GB2312"/>
          <w:sz w:val="32"/>
          <w:szCs w:val="32"/>
          <w:lang w:eastAsia="zh-CN"/>
        </w:rPr>
        <w:t>评</w:t>
      </w:r>
      <w:r>
        <w:rPr>
          <w:rFonts w:hint="eastAsia" w:ascii="宋体" w:hAnsi="宋体" w:eastAsia="仿宋_GB2312" w:cs="仿宋_GB2312"/>
          <w:sz w:val="32"/>
          <w:szCs w:val="32"/>
        </w:rPr>
        <w:t>审〔</w:t>
      </w:r>
      <w:r>
        <w:rPr>
          <w:rFonts w:ascii="宋体" w:hAnsi="宋体" w:eastAsia="仿宋_GB2312" w:cs="仿宋_GB2312"/>
          <w:sz w:val="32"/>
          <w:szCs w:val="32"/>
        </w:rPr>
        <w:t>202</w:t>
      </w:r>
      <w:r>
        <w:rPr>
          <w:rFonts w:hint="eastAsia" w:ascii="宋体" w:hAnsi="宋体" w:eastAsia="仿宋_GB2312" w:cs="仿宋_GB2312"/>
          <w:sz w:val="32"/>
          <w:szCs w:val="32"/>
          <w:lang w:val="en-US" w:eastAsia="zh-CN"/>
        </w:rPr>
        <w:t>4</w:t>
      </w:r>
      <w:r>
        <w:rPr>
          <w:rFonts w:hint="eastAsia" w:ascii="宋体" w:hAnsi="宋体" w:eastAsia="仿宋_GB2312" w:cs="仿宋_GB2312"/>
          <w:sz w:val="32"/>
          <w:szCs w:val="32"/>
        </w:rPr>
        <w:t>〕</w:t>
      </w:r>
      <w:r>
        <w:rPr>
          <w:rFonts w:hint="eastAsia" w:ascii="宋体" w:hAnsi="宋体" w:eastAsia="仿宋_GB2312" w:cs="仿宋_GB2312"/>
          <w:sz w:val="32"/>
          <w:szCs w:val="32"/>
          <w:lang w:val="en-US" w:eastAsia="zh-CN"/>
        </w:rPr>
        <w:t>1-14</w:t>
      </w:r>
      <w:r>
        <w:rPr>
          <w:rFonts w:hint="eastAsia" w:ascii="宋体" w:hAnsi="宋体" w:eastAsia="仿宋_GB2312" w:cs="仿宋_GB2312"/>
          <w:sz w:val="32"/>
          <w:szCs w:val="32"/>
        </w:rPr>
        <w:t>号</w:t>
      </w:r>
    </w:p>
    <w:p>
      <w:pPr>
        <w:snapToGrid w:val="0"/>
        <w:spacing w:line="560" w:lineRule="exact"/>
        <w:ind w:right="21" w:rightChars="10"/>
        <w:rPr>
          <w:rFonts w:ascii="宋体" w:hAnsi="宋体" w:eastAsia="仿宋_GB2312" w:cs="仿宋_GB2312"/>
          <w:sz w:val="32"/>
          <w:szCs w:val="32"/>
        </w:rPr>
      </w:pPr>
    </w:p>
    <w:p>
      <w:pPr>
        <w:snapToGrid w:val="0"/>
        <w:spacing w:line="560" w:lineRule="exact"/>
        <w:ind w:right="21" w:rightChars="10"/>
        <w:jc w:val="center"/>
        <w:rPr>
          <w:rFonts w:ascii="宋体" w:hAnsi="宋体" w:eastAsia="方正小标宋_GBK" w:cs="方正小标宋_GBK"/>
          <w:spacing w:val="-11"/>
          <w:sz w:val="44"/>
          <w:szCs w:val="44"/>
        </w:rPr>
      </w:pPr>
      <w:r>
        <w:rPr>
          <w:rFonts w:hint="eastAsia" w:ascii="宋体" w:hAnsi="宋体" w:eastAsia="方正小标宋_GBK" w:cs="方正小标宋_GBK"/>
          <w:spacing w:val="-11"/>
          <w:sz w:val="44"/>
          <w:szCs w:val="44"/>
        </w:rPr>
        <w:t>大理白族自治州生态环境局</w:t>
      </w:r>
    </w:p>
    <w:p>
      <w:pPr>
        <w:snapToGrid w:val="0"/>
        <w:spacing w:line="560" w:lineRule="exact"/>
        <w:ind w:right="21" w:rightChars="10"/>
        <w:jc w:val="center"/>
        <w:rPr>
          <w:rFonts w:ascii="宋体" w:hAnsi="宋体" w:eastAsia="方正小标宋简体" w:cs="方正小标宋_GBK"/>
          <w:spacing w:val="-11"/>
          <w:sz w:val="44"/>
          <w:szCs w:val="44"/>
        </w:rPr>
      </w:pPr>
      <w:r>
        <w:rPr>
          <w:rFonts w:hint="eastAsia" w:ascii="宋体" w:hAnsi="宋体" w:eastAsia="方正小标宋_GBK" w:cs="方正小标宋_GBK"/>
          <w:spacing w:val="-11"/>
          <w:sz w:val="44"/>
          <w:szCs w:val="44"/>
        </w:rPr>
        <w:t>关于</w:t>
      </w:r>
      <w:r>
        <w:rPr>
          <w:rFonts w:hint="eastAsia" w:ascii="宋体" w:hAnsi="宋体" w:eastAsia="方正小标宋_GBK"/>
          <w:color w:val="000000"/>
          <w:sz w:val="44"/>
          <w:szCs w:val="44"/>
        </w:rPr>
        <w:t>大理州宾川县农村供水保障专项行动项目（2022年度）环境影响报告书</w:t>
      </w:r>
      <w:r>
        <w:rPr>
          <w:rFonts w:hint="eastAsia" w:ascii="宋体" w:hAnsi="宋体" w:eastAsia="方正小标宋_GBK" w:cs="方正小标宋_GBK"/>
          <w:spacing w:val="-11"/>
          <w:sz w:val="44"/>
          <w:szCs w:val="44"/>
        </w:rPr>
        <w:t>的批复</w:t>
      </w:r>
    </w:p>
    <w:p>
      <w:pPr>
        <w:snapToGrid w:val="0"/>
        <w:spacing w:line="560" w:lineRule="exact"/>
        <w:ind w:right="21" w:rightChars="10"/>
        <w:rPr>
          <w:rFonts w:ascii="宋体" w:hAnsi="宋体" w:eastAsia="仿宋_GB2312" w:cs="仿宋_GB2312"/>
          <w:sz w:val="32"/>
          <w:szCs w:val="32"/>
        </w:rPr>
      </w:pPr>
    </w:p>
    <w:p>
      <w:pPr>
        <w:keepNext w:val="0"/>
        <w:keepLines w:val="0"/>
        <w:pageBreakBefore w:val="0"/>
        <w:widowControl w:val="0"/>
        <w:kinsoku/>
        <w:wordWrap/>
        <w:overflowPunct/>
        <w:topLinePunct w:val="0"/>
        <w:autoSpaceDE/>
        <w:autoSpaceDN/>
        <w:bidi w:val="0"/>
        <w:snapToGrid w:val="0"/>
        <w:spacing w:line="560" w:lineRule="exact"/>
        <w:ind w:right="21" w:rightChars="10"/>
        <w:rPr>
          <w:rFonts w:hint="eastAsia" w:ascii="宋体" w:hAnsi="宋体" w:eastAsia="方正仿宋_GBK" w:cs="方正仿宋_GBK"/>
          <w:sz w:val="32"/>
          <w:szCs w:val="32"/>
        </w:rPr>
      </w:pPr>
      <w:r>
        <w:rPr>
          <w:rFonts w:hint="eastAsia" w:ascii="宋体" w:hAnsi="宋体" w:eastAsia="方正仿宋_GBK" w:cs="方正仿宋_GBK"/>
          <w:sz w:val="32"/>
          <w:szCs w:val="32"/>
        </w:rPr>
        <w:t>宾川县泽源供水有限公司：</w:t>
      </w:r>
    </w:p>
    <w:p>
      <w:pPr>
        <w:keepNext w:val="0"/>
        <w:keepLines w:val="0"/>
        <w:pageBreakBefore w:val="0"/>
        <w:widowControl w:val="0"/>
        <w:kinsoku/>
        <w:wordWrap/>
        <w:overflowPunct/>
        <w:topLinePunct w:val="0"/>
        <w:autoSpaceDE/>
        <w:autoSpaceDN/>
        <w:bidi w:val="0"/>
        <w:snapToGrid w:val="0"/>
        <w:spacing w:line="560" w:lineRule="exact"/>
        <w:ind w:right="21" w:rightChars="10"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你单位报批的《大理州宾川县农村供水保障专项行动项目（2022年度）环境影响报告书》（以下简称《报告书》）及相关材料收悉。经研究，批复如下：</w:t>
      </w:r>
    </w:p>
    <w:p>
      <w:pPr>
        <w:keepNext w:val="0"/>
        <w:keepLines w:val="0"/>
        <w:pageBreakBefore w:val="0"/>
        <w:widowControl w:val="0"/>
        <w:kinsoku/>
        <w:wordWrap/>
        <w:overflowPunct/>
        <w:topLinePunct w:val="0"/>
        <w:autoSpaceDE/>
        <w:autoSpaceDN/>
        <w:bidi w:val="0"/>
        <w:snapToGrid w:val="0"/>
        <w:spacing w:line="560" w:lineRule="exact"/>
        <w:ind w:right="21" w:rightChars="10" w:firstLine="640" w:firstLineChars="200"/>
        <w:rPr>
          <w:rFonts w:hint="eastAsia" w:ascii="宋体" w:hAnsi="宋体" w:eastAsia="方正仿宋_GBK" w:cs="方正仿宋_GBK"/>
          <w:sz w:val="32"/>
          <w:szCs w:val="32"/>
          <w:lang w:val="zh-CN"/>
        </w:rPr>
      </w:pPr>
      <w:r>
        <w:rPr>
          <w:rFonts w:hint="eastAsia" w:ascii="宋体" w:hAnsi="宋体" w:eastAsia="方正仿宋_GBK" w:cs="方正仿宋_GBK"/>
          <w:sz w:val="32"/>
          <w:szCs w:val="32"/>
        </w:rPr>
        <w:t>一、该项目位于</w:t>
      </w:r>
      <w:r>
        <w:rPr>
          <w:rFonts w:hint="eastAsia" w:ascii="宋体" w:hAnsi="宋体" w:eastAsia="方正仿宋_GBK" w:cs="方正仿宋_GBK"/>
          <w:sz w:val="32"/>
          <w:szCs w:val="32"/>
          <w:lang w:val="en-US" w:eastAsia="zh-CN"/>
        </w:rPr>
        <w:t>云南大理州宾川县宾居镇、州城镇</w:t>
      </w:r>
      <w:r>
        <w:rPr>
          <w:rFonts w:hint="eastAsia" w:ascii="宋体" w:hAnsi="宋体" w:eastAsia="方正仿宋_GBK" w:cs="方正仿宋_GBK"/>
          <w:sz w:val="32"/>
          <w:szCs w:val="32"/>
        </w:rPr>
        <w:t>，由主体工程</w:t>
      </w:r>
      <w:r>
        <w:rPr>
          <w:rFonts w:hint="eastAsia" w:ascii="宋体" w:hAnsi="宋体" w:eastAsia="方正仿宋_GBK" w:cs="方正仿宋_GBK"/>
          <w:sz w:val="32"/>
          <w:szCs w:val="32"/>
          <w:lang w:eastAsia="zh-CN"/>
        </w:rPr>
        <w:t>、依托工程</w:t>
      </w:r>
      <w:r>
        <w:rPr>
          <w:rFonts w:hint="eastAsia" w:ascii="宋体" w:hAnsi="宋体" w:eastAsia="方正仿宋_GBK" w:cs="方正仿宋_GBK"/>
          <w:sz w:val="32"/>
          <w:szCs w:val="32"/>
        </w:rPr>
        <w:t>、临时工程、公用工程和环保工程</w:t>
      </w:r>
      <w:r>
        <w:rPr>
          <w:rFonts w:hint="eastAsia" w:ascii="宋体" w:hAnsi="宋体" w:eastAsia="方正仿宋_GBK" w:cs="方正仿宋_GBK"/>
          <w:sz w:val="32"/>
          <w:szCs w:val="32"/>
          <w:lang w:eastAsia="zh-CN"/>
        </w:rPr>
        <w:t>五部分</w:t>
      </w:r>
      <w:r>
        <w:rPr>
          <w:rFonts w:hint="eastAsia" w:ascii="宋体" w:hAnsi="宋体" w:eastAsia="方正仿宋_GBK" w:cs="方正仿宋_GBK"/>
          <w:sz w:val="32"/>
          <w:szCs w:val="32"/>
        </w:rPr>
        <w:t>组成。项目</w:t>
      </w:r>
      <w:r>
        <w:rPr>
          <w:rFonts w:hint="eastAsia" w:ascii="宋体" w:hAnsi="宋体" w:eastAsia="方正仿宋_GBK" w:cs="方正仿宋_GBK"/>
          <w:sz w:val="32"/>
          <w:szCs w:val="32"/>
          <w:lang w:eastAsia="zh-CN"/>
        </w:rPr>
        <w:t>主体工程</w:t>
      </w:r>
      <w:r>
        <w:rPr>
          <w:rFonts w:hint="eastAsia" w:ascii="宋体" w:hAnsi="宋体" w:eastAsia="方正仿宋_GBK" w:cs="方正仿宋_GBK"/>
          <w:sz w:val="32"/>
          <w:szCs w:val="32"/>
        </w:rPr>
        <w:t>主要包括输水工程、</w:t>
      </w:r>
      <w:bookmarkStart w:id="0" w:name="_Hlk170294937"/>
      <w:r>
        <w:rPr>
          <w:rFonts w:hint="eastAsia" w:ascii="宋体" w:hAnsi="宋体" w:eastAsia="方正仿宋_GBK" w:cs="方正仿宋_GBK"/>
          <w:sz w:val="32"/>
          <w:szCs w:val="32"/>
        </w:rPr>
        <w:t>净水厂</w:t>
      </w:r>
      <w:bookmarkEnd w:id="0"/>
      <w:r>
        <w:rPr>
          <w:rFonts w:hint="eastAsia" w:ascii="宋体" w:hAnsi="宋体" w:eastAsia="方正仿宋_GBK" w:cs="方正仿宋_GBK"/>
          <w:sz w:val="32"/>
          <w:szCs w:val="32"/>
        </w:rPr>
        <w:t>工程、配水工程，依托工程主要为大王庙龙潭、团山地下暗河（溶洞）泉水、黑树龙潭等三个地下水源点，以及人池湖水库。</w:t>
      </w:r>
      <w:r>
        <w:rPr>
          <w:rFonts w:hint="eastAsia" w:ascii="宋体" w:hAnsi="宋体" w:eastAsia="方正仿宋_GBK" w:cs="方正仿宋_GBK"/>
          <w:sz w:val="32"/>
          <w:szCs w:val="32"/>
          <w:lang w:val="zh-CN"/>
        </w:rPr>
        <w:t>项目工程总面积为1085.10亩，永久占地61.89亩（其中净水厂占地面积42.25亩），临时占地1023.21亩。</w:t>
      </w:r>
    </w:p>
    <w:p>
      <w:pPr>
        <w:keepNext w:val="0"/>
        <w:keepLines w:val="0"/>
        <w:pageBreakBefore w:val="0"/>
        <w:widowControl w:val="0"/>
        <w:kinsoku/>
        <w:wordWrap/>
        <w:overflowPunct/>
        <w:topLinePunct w:val="0"/>
        <w:autoSpaceDE/>
        <w:autoSpaceDN/>
        <w:bidi w:val="0"/>
        <w:snapToGrid w:val="0"/>
        <w:spacing w:line="560" w:lineRule="exact"/>
        <w:ind w:right="21" w:rightChars="10"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lang w:eastAsia="zh-CN"/>
        </w:rPr>
        <w:t>二、</w:t>
      </w:r>
      <w:r>
        <w:rPr>
          <w:rFonts w:hint="eastAsia" w:ascii="宋体" w:hAnsi="宋体" w:eastAsia="方正仿宋_GBK" w:cs="方正仿宋_GBK"/>
          <w:sz w:val="32"/>
          <w:szCs w:val="32"/>
        </w:rPr>
        <w:t>宾川县发展和改革局以《关于</w:t>
      </w:r>
      <w:r>
        <w:rPr>
          <w:rFonts w:hint="eastAsia" w:ascii="宋体" w:hAnsi="宋体" w:eastAsia="方正仿宋_GBK" w:cs="方正仿宋_GBK"/>
          <w:sz w:val="32"/>
          <w:szCs w:val="32"/>
          <w:lang w:val="zh-CN"/>
        </w:rPr>
        <w:t>大理州宾川县农村</w:t>
      </w:r>
      <w:r>
        <w:rPr>
          <w:rFonts w:hint="eastAsia" w:ascii="宋体" w:hAnsi="宋体" w:eastAsia="方正仿宋_GBK" w:cs="方正仿宋_GBK"/>
          <w:sz w:val="32"/>
          <w:szCs w:val="32"/>
        </w:rPr>
        <w:t>供水保障专项行动项目可行性研究报告</w:t>
      </w:r>
      <w:r>
        <w:rPr>
          <w:rFonts w:hint="eastAsia" w:ascii="宋体" w:hAnsi="宋体" w:eastAsia="方正仿宋_GBK" w:cs="方正仿宋_GBK"/>
          <w:sz w:val="32"/>
          <w:szCs w:val="32"/>
          <w:lang w:val="zh-CN"/>
        </w:rPr>
        <w:t>的批复</w:t>
      </w:r>
      <w:r>
        <w:rPr>
          <w:rFonts w:hint="eastAsia" w:ascii="宋体" w:hAnsi="宋体" w:eastAsia="方正仿宋_GBK" w:cs="方正仿宋_GBK"/>
          <w:sz w:val="32"/>
          <w:szCs w:val="32"/>
        </w:rPr>
        <w:t>》</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zh-CN"/>
        </w:rPr>
        <w:t>宾发改发〔2021〕36号</w:t>
      </w:r>
      <w:r>
        <w:rPr>
          <w:rFonts w:hint="eastAsia" w:ascii="宋体" w:hAnsi="宋体" w:eastAsia="方正仿宋_GBK" w:cs="方正仿宋_GBK"/>
          <w:sz w:val="32"/>
          <w:szCs w:val="32"/>
          <w:lang w:val="zh-CN" w:eastAsia="zh-CN"/>
        </w:rPr>
        <w:t>）</w:t>
      </w:r>
      <w:r>
        <w:rPr>
          <w:rFonts w:hint="eastAsia" w:ascii="宋体" w:hAnsi="宋体" w:eastAsia="方正仿宋_GBK" w:cs="方正仿宋_GBK"/>
          <w:sz w:val="32"/>
          <w:szCs w:val="32"/>
        </w:rPr>
        <w:t>，对宾川县农村供水保障专项行动项目可研进行批复，该项目为其中之一</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项目总投资</w:t>
      </w:r>
      <w:bookmarkStart w:id="1" w:name="OLE_LINK5"/>
      <w:r>
        <w:rPr>
          <w:rFonts w:hint="eastAsia" w:ascii="宋体" w:hAnsi="宋体" w:eastAsia="方正仿宋_GBK" w:cs="方正仿宋_GBK"/>
          <w:sz w:val="32"/>
          <w:szCs w:val="32"/>
        </w:rPr>
        <w:t>19081.23万元</w:t>
      </w:r>
      <w:bookmarkEnd w:id="1"/>
      <w:r>
        <w:rPr>
          <w:rFonts w:hint="eastAsia" w:ascii="宋体" w:hAnsi="宋体" w:eastAsia="方正仿宋_GBK" w:cs="方正仿宋_GBK"/>
          <w:sz w:val="32"/>
          <w:szCs w:val="32"/>
        </w:rPr>
        <w:t>，其中环保投资</w:t>
      </w:r>
      <w:bookmarkStart w:id="2" w:name="OLE_LINK13"/>
      <w:bookmarkStart w:id="3" w:name="OLE_LINK16"/>
      <w:bookmarkStart w:id="4" w:name="OLE_LINK14"/>
      <w:bookmarkStart w:id="5" w:name="OLE_LINK17"/>
      <w:bookmarkStart w:id="6" w:name="OLE_LINK19"/>
      <w:r>
        <w:rPr>
          <w:rFonts w:hint="eastAsia" w:ascii="宋体" w:hAnsi="宋体" w:eastAsia="方正仿宋_GBK" w:cs="方正仿宋_GBK"/>
          <w:sz w:val="32"/>
          <w:szCs w:val="32"/>
          <w:lang w:val="en-US" w:eastAsia="zh-CN"/>
        </w:rPr>
        <w:t>176.7</w:t>
      </w:r>
      <w:r>
        <w:rPr>
          <w:rFonts w:hint="eastAsia" w:ascii="宋体" w:hAnsi="宋体" w:eastAsia="方正仿宋_GBK" w:cs="方正仿宋_GBK"/>
          <w:sz w:val="32"/>
          <w:szCs w:val="32"/>
        </w:rPr>
        <w:t>万元，占总投资的</w:t>
      </w:r>
      <w:bookmarkEnd w:id="2"/>
      <w:bookmarkEnd w:id="3"/>
      <w:bookmarkEnd w:id="4"/>
      <w:bookmarkEnd w:id="5"/>
      <w:bookmarkEnd w:id="6"/>
      <w:r>
        <w:rPr>
          <w:rFonts w:hint="eastAsia" w:ascii="宋体" w:hAnsi="宋体" w:eastAsia="方正仿宋_GBK" w:cs="方正仿宋_GBK"/>
          <w:sz w:val="32"/>
          <w:szCs w:val="32"/>
          <w:lang w:val="en-US" w:eastAsia="zh-CN"/>
        </w:rPr>
        <w:t>0.926%</w:t>
      </w:r>
      <w:r>
        <w:rPr>
          <w:rFonts w:hint="eastAsia" w:ascii="宋体" w:hAnsi="宋体" w:eastAsia="方正仿宋_GBK" w:cs="方正仿宋_GBK"/>
          <w:sz w:val="32"/>
          <w:szCs w:val="32"/>
        </w:rPr>
        <w:t>。</w:t>
      </w:r>
    </w:p>
    <w:p>
      <w:pPr>
        <w:keepNext w:val="0"/>
        <w:keepLines w:val="0"/>
        <w:pageBreakBefore w:val="0"/>
        <w:widowControl w:val="0"/>
        <w:kinsoku/>
        <w:wordWrap/>
        <w:overflowPunct/>
        <w:topLinePunct w:val="0"/>
        <w:autoSpaceDE/>
        <w:autoSpaceDN/>
        <w:bidi w:val="0"/>
        <w:snapToGrid w:val="0"/>
        <w:spacing w:line="560" w:lineRule="exact"/>
        <w:ind w:right="21" w:rightChars="10" w:firstLine="640" w:firstLineChars="200"/>
        <w:rPr>
          <w:rFonts w:hint="eastAsia" w:ascii="宋体" w:hAnsi="宋体" w:eastAsia="方正仿宋_GBK" w:cs="方正仿宋_GBK"/>
          <w:sz w:val="32"/>
          <w:szCs w:val="32"/>
          <w:lang w:val="zh-CN"/>
        </w:rPr>
      </w:pPr>
      <w:r>
        <w:rPr>
          <w:rFonts w:hint="eastAsia" w:ascii="宋体" w:hAnsi="宋体" w:eastAsia="方正仿宋_GBK" w:cs="方正仿宋_GBK"/>
          <w:sz w:val="32"/>
          <w:szCs w:val="32"/>
        </w:rPr>
        <w:t>根据《报告书》及技术评估结论，在全面落实环境影响报告书和本批复提出的各项生态环境保护措施和污染防治措施后，该项目所产生的不利生态环境影响可以得到缓解或控制。我局原则同意环境影响报告书的环境影响评价总体结论和拟采取的各项生态环境保护措施。</w:t>
      </w:r>
    </w:p>
    <w:p>
      <w:pPr>
        <w:keepNext w:val="0"/>
        <w:keepLines w:val="0"/>
        <w:pageBreakBefore w:val="0"/>
        <w:widowControl w:val="0"/>
        <w:kinsoku/>
        <w:wordWrap/>
        <w:overflowPunct/>
        <w:topLinePunct w:val="0"/>
        <w:autoSpaceDE/>
        <w:autoSpaceDN/>
        <w:bidi w:val="0"/>
        <w:snapToGrid w:val="0"/>
        <w:spacing w:line="560" w:lineRule="exact"/>
        <w:ind w:right="21" w:rightChars="10"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lang w:eastAsia="zh-CN"/>
        </w:rPr>
        <w:t>三、</w:t>
      </w:r>
      <w:r>
        <w:rPr>
          <w:rFonts w:hint="eastAsia" w:ascii="宋体" w:hAnsi="宋体" w:eastAsia="方正仿宋_GBK" w:cs="方正仿宋_GBK"/>
          <w:sz w:val="32"/>
          <w:szCs w:val="32"/>
        </w:rPr>
        <w:t>根据《报告书》分析，本项目涉及工程不涉及生态保护红线，工程临时占地管线部分涉及永久基本农田7.28</w:t>
      </w:r>
      <w:r>
        <w:rPr>
          <w:rFonts w:hint="eastAsia" w:ascii="宋体" w:hAnsi="宋体" w:eastAsia="方正仿宋_GBK" w:cs="方正仿宋_GBK"/>
          <w:sz w:val="32"/>
          <w:szCs w:val="32"/>
          <w:lang w:eastAsia="zh-CN"/>
        </w:rPr>
        <w:t>公顷</w:t>
      </w:r>
      <w:r>
        <w:rPr>
          <w:rFonts w:hint="eastAsia" w:ascii="宋体" w:hAnsi="宋体" w:eastAsia="方正仿宋_GBK" w:cs="方正仿宋_GBK"/>
          <w:sz w:val="32"/>
          <w:szCs w:val="32"/>
        </w:rPr>
        <w:t>，净水厂部分及进场道路涉及国家二级公益林地3.1677公顷。</w:t>
      </w:r>
    </w:p>
    <w:p>
      <w:pPr>
        <w:keepNext w:val="0"/>
        <w:keepLines w:val="0"/>
        <w:pageBreakBefore w:val="0"/>
        <w:widowControl w:val="0"/>
        <w:kinsoku/>
        <w:wordWrap/>
        <w:overflowPunct/>
        <w:topLinePunct w:val="0"/>
        <w:autoSpaceDE/>
        <w:autoSpaceDN/>
        <w:bidi w:val="0"/>
        <w:snapToGrid w:val="0"/>
        <w:spacing w:line="560" w:lineRule="exact"/>
        <w:ind w:right="21" w:rightChars="10"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lang w:eastAsia="zh-CN"/>
        </w:rPr>
        <w:t>四、</w:t>
      </w:r>
      <w:r>
        <w:rPr>
          <w:rFonts w:hint="eastAsia" w:ascii="宋体" w:hAnsi="宋体" w:eastAsia="方正仿宋_GBK" w:cs="方正仿宋_GBK"/>
          <w:sz w:val="32"/>
          <w:szCs w:val="32"/>
        </w:rPr>
        <w:t>项目在建设和运行过程中应做好以下工作</w:t>
      </w:r>
    </w:p>
    <w:p>
      <w:pPr>
        <w:keepNext w:val="0"/>
        <w:keepLines w:val="0"/>
        <w:pageBreakBefore w:val="0"/>
        <w:widowControl w:val="0"/>
        <w:kinsoku/>
        <w:wordWrap/>
        <w:overflowPunct/>
        <w:topLinePunct w:val="0"/>
        <w:autoSpaceDE/>
        <w:autoSpaceDN/>
        <w:bidi w:val="0"/>
        <w:snapToGrid w:val="0"/>
        <w:spacing w:line="560" w:lineRule="exact"/>
        <w:ind w:right="21" w:rightChars="10"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一）项目涉及永久基本农田、二级国家级公益林、饮用水水源保护区等环境敏感区，应根据国家、省、州关于永久基本农田、国家级公益林、饮用水水源保护区有关的法律法规以及相关行政主管部门的要求，依法依规办理相关手续。大王庙龙潭和黑树龙潭泉水应按照《饮用水水源保护区污染防治管理规定》、《饮用水水源保护区划分技术规范》等相关规定划分为饮用水水源保护区，并严格执行饮用水水源保护区的相关规定，落实好各项水污染防治措施。</w:t>
      </w:r>
    </w:p>
    <w:p>
      <w:pPr>
        <w:keepNext w:val="0"/>
        <w:keepLines w:val="0"/>
        <w:pageBreakBefore w:val="0"/>
        <w:widowControl w:val="0"/>
        <w:kinsoku/>
        <w:wordWrap/>
        <w:overflowPunct/>
        <w:topLinePunct w:val="0"/>
        <w:autoSpaceDE/>
        <w:autoSpaceDN/>
        <w:bidi w:val="0"/>
        <w:snapToGrid w:val="0"/>
        <w:spacing w:line="560" w:lineRule="exact"/>
        <w:ind w:right="21" w:rightChars="10"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二）加强施工期环境管理，严格落实施工期各项生态环境保护措施。做好施工期污水收集与处理工作，施工废水处理后循环利用；固体废物须分类收集，并及时清运、妥善处置；文明施工，合理安排施工作业时间，通过加强施工场地和运输道路洒水抑尘等措施，减少施工扬尘和噪声对周围环境的影响；严格在项目范围内施工，做好施工场地的水土保持工作，有效防治施工引起的水土流失；严格控制施工及人员活动范围，禁止偷捕猎杀动物、非法采伐和破坏周边植被等行为。</w:t>
      </w:r>
    </w:p>
    <w:p>
      <w:pPr>
        <w:keepNext w:val="0"/>
        <w:keepLines w:val="0"/>
        <w:pageBreakBefore w:val="0"/>
        <w:widowControl w:val="0"/>
        <w:kinsoku/>
        <w:wordWrap/>
        <w:overflowPunct/>
        <w:topLinePunct w:val="0"/>
        <w:autoSpaceDE/>
        <w:autoSpaceDN/>
        <w:bidi w:val="0"/>
        <w:snapToGrid w:val="0"/>
        <w:spacing w:line="560" w:lineRule="exact"/>
        <w:ind w:right="21" w:rightChars="10"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三）严格落实雨污分流等各项环保对策措施，确保净水厂生产废水处理系统正常运行，生产废水得到妥善处置，严禁污水未经处理直接外排；定期检查净水厂环保设施设备，对设备故障或管道异常等现象及时上报处置，消除污染隐患；制定污水事故排放应急及防范措施，杜绝污水事故排放；加强净水厂和周边土壤环境风险管控，项目区须严格落实地下水污染分区防控措施，按照相关规范要求进行分区防渗设计、建设；同时严格落实环境监测计划，防止项目运行对项目区周边大气、地表水、地下水、土壤和生态环境造成不良影响。</w:t>
      </w:r>
    </w:p>
    <w:p>
      <w:pPr>
        <w:keepNext w:val="0"/>
        <w:keepLines w:val="0"/>
        <w:pageBreakBefore w:val="0"/>
        <w:widowControl w:val="0"/>
        <w:kinsoku/>
        <w:wordWrap/>
        <w:overflowPunct/>
        <w:topLinePunct w:val="0"/>
        <w:autoSpaceDE/>
        <w:autoSpaceDN/>
        <w:bidi w:val="0"/>
        <w:snapToGrid w:val="0"/>
        <w:spacing w:line="560" w:lineRule="exact"/>
        <w:ind w:right="21" w:rightChars="10"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（四）严格落实固体废物污染防治措施，分类收集、暂存、运输并妥善处置各类固体废物。危险废物收集、暂存、转移、运输及处置等环节应严格执行</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危险废物</w:t>
      </w:r>
      <w:r>
        <w:rPr>
          <w:rFonts w:hint="eastAsia" w:ascii="宋体" w:hAnsi="宋体" w:eastAsia="方正仿宋_GBK" w:cs="方正仿宋_GBK"/>
          <w:sz w:val="32"/>
          <w:szCs w:val="32"/>
          <w:lang w:eastAsia="zh-CN"/>
        </w:rPr>
        <w:t>贮存污染控制标准》等</w:t>
      </w:r>
      <w:r>
        <w:rPr>
          <w:rFonts w:hint="eastAsia" w:ascii="宋体" w:hAnsi="宋体" w:eastAsia="方正仿宋_GBK" w:cs="方正仿宋_GBK"/>
          <w:sz w:val="32"/>
          <w:szCs w:val="32"/>
        </w:rPr>
        <w:t>相关规定，必须交由相应资质的单位进行处置，并规范做好台账管理工作。</w:t>
      </w:r>
    </w:p>
    <w:p>
      <w:pPr>
        <w:keepNext w:val="0"/>
        <w:keepLines w:val="0"/>
        <w:pageBreakBefore w:val="0"/>
        <w:widowControl w:val="0"/>
        <w:kinsoku/>
        <w:wordWrap/>
        <w:overflowPunct/>
        <w:topLinePunct w:val="0"/>
        <w:autoSpaceDE/>
        <w:autoSpaceDN/>
        <w:bidi w:val="0"/>
        <w:snapToGrid w:val="0"/>
        <w:spacing w:line="560" w:lineRule="exact"/>
        <w:ind w:right="21" w:rightChars="10"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五）强化厂区绿化，认真落实各项废气污染防治措施，加强净水厂污泥脱水间的恶臭气体以及加药间的废气管理，确保大气污染物达标排放。严格落实减振、消声、厂房隔声等降噪措施，确保净水厂、提水泵站、增压泵站噪声达标。</w:t>
      </w:r>
    </w:p>
    <w:p>
      <w:pPr>
        <w:keepNext w:val="0"/>
        <w:keepLines w:val="0"/>
        <w:pageBreakBefore w:val="0"/>
        <w:widowControl w:val="0"/>
        <w:kinsoku/>
        <w:wordWrap/>
        <w:overflowPunct/>
        <w:topLinePunct w:val="0"/>
        <w:autoSpaceDE/>
        <w:autoSpaceDN/>
        <w:bidi w:val="0"/>
        <w:snapToGrid w:val="0"/>
        <w:spacing w:line="560" w:lineRule="exact"/>
        <w:ind w:right="21" w:rightChars="10" w:firstLine="640" w:firstLineChars="200"/>
        <w:rPr>
          <w:rFonts w:hint="eastAsia" w:ascii="宋体" w:hAnsi="宋体" w:eastAsia="方正仿宋_GBK" w:cs="方正仿宋_GBK"/>
          <w:sz w:val="32"/>
          <w:szCs w:val="32"/>
          <w:lang w:val="zh-CN" w:eastAsia="zh-CN"/>
        </w:rPr>
      </w:pPr>
      <w:r>
        <w:rPr>
          <w:rFonts w:hint="eastAsia" w:ascii="宋体" w:hAnsi="宋体" w:eastAsia="方正仿宋_GBK" w:cs="方正仿宋_GBK"/>
          <w:sz w:val="32"/>
          <w:szCs w:val="32"/>
          <w:lang w:val="zh-CN" w:eastAsia="zh-CN"/>
        </w:rPr>
        <w:t>（六）严格落实该《报告书》提出的环境风险防范措施，强化环境风险防范，按照《突发环境事件应急管理办法》《企业事业单位突发环境事件应急预案备案管理办法（试行）》等要求，严格落实厂区及周边各项环境风险防范措施与事故应急措施，编制环境风险防范应急预案，并报大理州生态环境局宾川分局备案。加强应急演练，建立完善应急报告制度，落实应急物资和经费。</w:t>
      </w:r>
    </w:p>
    <w:p>
      <w:pPr>
        <w:keepNext w:val="0"/>
        <w:keepLines w:val="0"/>
        <w:pageBreakBefore w:val="0"/>
        <w:widowControl w:val="0"/>
        <w:kinsoku/>
        <w:wordWrap/>
        <w:overflowPunct/>
        <w:topLinePunct w:val="0"/>
        <w:autoSpaceDE/>
        <w:autoSpaceDN/>
        <w:bidi w:val="0"/>
        <w:snapToGrid w:val="0"/>
        <w:spacing w:line="560" w:lineRule="exact"/>
        <w:ind w:right="21" w:rightChars="10"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lang w:eastAsia="zh-CN"/>
        </w:rPr>
        <w:t>五</w:t>
      </w:r>
      <w:r>
        <w:rPr>
          <w:rFonts w:hint="eastAsia" w:ascii="宋体" w:hAnsi="宋体" w:eastAsia="方正仿宋_GBK" w:cs="方正仿宋_GBK"/>
          <w:sz w:val="32"/>
          <w:szCs w:val="32"/>
        </w:rPr>
        <w:t>、</w:t>
      </w:r>
      <w:r>
        <w:rPr>
          <w:rFonts w:hint="eastAsia" w:ascii="宋体" w:hAnsi="宋体" w:eastAsia="方正仿宋_GBK" w:cs="方正仿宋_GBK"/>
          <w:sz w:val="32"/>
          <w:szCs w:val="32"/>
          <w:lang w:eastAsia="zh-CN"/>
        </w:rPr>
        <w:t>该《报告书》</w:t>
      </w:r>
      <w:r>
        <w:rPr>
          <w:rFonts w:hint="eastAsia" w:ascii="宋体" w:hAnsi="宋体" w:eastAsia="方正仿宋_GBK" w:cs="方正仿宋_GBK"/>
          <w:sz w:val="32"/>
          <w:szCs w:val="32"/>
        </w:rPr>
        <w:t>若发生重大变动，须另行开展环境影响评价并重新报批。环境影响评价报告书自批准之日起满五年，该项目方开工建设的，其环境影响报告书应当报我局重新审核</w:t>
      </w:r>
      <w:r>
        <w:rPr>
          <w:rFonts w:hint="eastAsia" w:ascii="宋体" w:hAnsi="宋体"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snapToGrid w:val="0"/>
        <w:spacing w:line="560" w:lineRule="exact"/>
        <w:ind w:right="21" w:rightChars="10"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lang w:eastAsia="zh-CN"/>
        </w:rPr>
        <w:t>六</w:t>
      </w:r>
      <w:r>
        <w:rPr>
          <w:rFonts w:hint="eastAsia" w:ascii="宋体" w:hAnsi="宋体" w:eastAsia="方正仿宋_GBK" w:cs="方正仿宋_GBK"/>
          <w:sz w:val="32"/>
          <w:szCs w:val="32"/>
        </w:rPr>
        <w:t>、你单位应落实环境保护的主体责任，建立内部生态环境管理体系，制定生态环境管理办法，明确机构、人员、职责和制度，加强生态环境管理，推进各项生态环境保护措施落实。工程实施必须严格执行环境保护设施与主体工程同时设计、同时施工、同时投产使用的环境保护“三同时”制度。项目建成后，</w:t>
      </w:r>
      <w:r>
        <w:rPr>
          <w:rFonts w:hint="eastAsia" w:ascii="宋体" w:hAnsi="宋体" w:eastAsia="方正仿宋_GBK" w:cs="方正仿宋_GBK"/>
          <w:sz w:val="32"/>
          <w:szCs w:val="32"/>
          <w:lang w:eastAsia="zh-CN"/>
        </w:rPr>
        <w:t>应</w:t>
      </w:r>
      <w:r>
        <w:rPr>
          <w:rFonts w:hint="eastAsia" w:ascii="宋体" w:hAnsi="宋体" w:eastAsia="方正仿宋_GBK" w:cs="方正仿宋_GBK"/>
          <w:sz w:val="32"/>
          <w:szCs w:val="32"/>
        </w:rPr>
        <w:t>按规定程序实施竣工环境保护验收。</w:t>
      </w:r>
    </w:p>
    <w:p>
      <w:pPr>
        <w:keepNext w:val="0"/>
        <w:keepLines w:val="0"/>
        <w:pageBreakBefore w:val="0"/>
        <w:widowControl w:val="0"/>
        <w:kinsoku/>
        <w:wordWrap/>
        <w:overflowPunct/>
        <w:topLinePunct w:val="0"/>
        <w:autoSpaceDE/>
        <w:autoSpaceDN/>
        <w:bidi w:val="0"/>
        <w:snapToGrid w:val="0"/>
        <w:spacing w:line="560" w:lineRule="exact"/>
        <w:ind w:right="21" w:rightChars="10" w:firstLine="640" w:firstLineChars="200"/>
        <w:rPr>
          <w:rFonts w:hint="eastAsia" w:ascii="宋体" w:hAnsi="宋体" w:eastAsia="方正仿宋_GBK" w:cs="方正仿宋_GBK"/>
          <w:sz w:val="32"/>
          <w:szCs w:val="32"/>
          <w:lang w:val="zh-CN"/>
        </w:rPr>
      </w:pPr>
      <w:r>
        <w:rPr>
          <w:rFonts w:hint="eastAsia" w:ascii="宋体" w:hAnsi="宋体" w:eastAsia="方正仿宋_GBK" w:cs="方正仿宋_GBK"/>
          <w:sz w:val="32"/>
          <w:szCs w:val="32"/>
          <w:lang w:eastAsia="zh-CN"/>
        </w:rPr>
        <w:t>七</w:t>
      </w:r>
      <w:r>
        <w:rPr>
          <w:rFonts w:hint="eastAsia" w:ascii="宋体" w:hAnsi="宋体" w:eastAsia="方正仿宋_GBK" w:cs="方正仿宋_GBK"/>
          <w:sz w:val="32"/>
          <w:szCs w:val="32"/>
        </w:rPr>
        <w:t>、你单位接到本批复后10个工作日内，将批准后的</w:t>
      </w:r>
      <w:r>
        <w:rPr>
          <w:rFonts w:hint="eastAsia" w:ascii="宋体" w:hAnsi="宋体" w:eastAsia="方正仿宋_GBK" w:cs="方正仿宋_GBK"/>
          <w:sz w:val="32"/>
          <w:szCs w:val="32"/>
          <w:lang w:eastAsia="zh-CN"/>
        </w:rPr>
        <w:t>《报告书》</w:t>
      </w:r>
      <w:r>
        <w:rPr>
          <w:rFonts w:hint="eastAsia" w:ascii="宋体" w:hAnsi="宋体" w:eastAsia="方正仿宋_GBK" w:cs="方正仿宋_GBK"/>
          <w:sz w:val="32"/>
          <w:szCs w:val="32"/>
        </w:rPr>
        <w:t>分送大理州生态环境保护综合行政执法支队、大理州生态</w:t>
      </w:r>
      <w:r>
        <w:rPr>
          <w:rFonts w:hint="eastAsia" w:ascii="宋体" w:hAnsi="宋体" w:eastAsia="方正仿宋_GBK" w:cs="方正仿宋_GBK"/>
          <w:sz w:val="32"/>
          <w:szCs w:val="32"/>
          <w:lang w:eastAsia="zh-CN"/>
        </w:rPr>
        <w:t>环境</w:t>
      </w:r>
      <w:r>
        <w:rPr>
          <w:rFonts w:hint="eastAsia" w:ascii="宋体" w:hAnsi="宋体" w:eastAsia="方正仿宋_GBK" w:cs="方正仿宋_GBK"/>
          <w:sz w:val="32"/>
          <w:szCs w:val="32"/>
        </w:rPr>
        <w:t>局宾川分局，并按规定接受各级生态环境部门日常监督检查。</w:t>
      </w:r>
    </w:p>
    <w:p>
      <w:pPr>
        <w:keepNext w:val="0"/>
        <w:keepLines w:val="0"/>
        <w:pageBreakBefore w:val="0"/>
        <w:widowControl w:val="0"/>
        <w:kinsoku/>
        <w:wordWrap/>
        <w:overflowPunct/>
        <w:topLinePunct w:val="0"/>
        <w:autoSpaceDE/>
        <w:autoSpaceDN/>
        <w:bidi w:val="0"/>
        <w:snapToGrid w:val="0"/>
        <w:spacing w:line="560" w:lineRule="exact"/>
        <w:ind w:right="21" w:rightChars="10"/>
        <w:rPr>
          <w:rFonts w:hint="eastAsia" w:ascii="宋体" w:hAnsi="宋体" w:eastAsia="方正仿宋_GBK" w:cs="方正仿宋_GBK"/>
          <w:sz w:val="32"/>
          <w:szCs w:val="32"/>
          <w:lang w:val="zh-CN" w:eastAsia="zh-CN"/>
        </w:rPr>
      </w:pPr>
      <w:r>
        <w:rPr>
          <w:rFonts w:hint="eastAsia" w:ascii="宋体" w:hAnsi="宋体" w:eastAsia="方正仿宋_GBK" w:cs="方正仿宋_GBK"/>
          <w:sz w:val="32"/>
          <w:szCs w:val="32"/>
          <w:lang w:val="zh-CN"/>
        </w:rPr>
        <w:t xml:space="preserve">    </w:t>
      </w:r>
      <w:r>
        <w:rPr>
          <w:rFonts w:hint="eastAsia" w:ascii="宋体" w:hAnsi="宋体" w:eastAsia="方正仿宋_GBK" w:cs="方正仿宋_GBK"/>
          <w:sz w:val="32"/>
          <w:szCs w:val="32"/>
        </w:rPr>
        <w:t>大理州生态环境保护综合行政执法支队按职责开展相关执法监管工作。大理州生态环境局</w:t>
      </w:r>
      <w:r>
        <w:rPr>
          <w:rFonts w:hint="eastAsia" w:ascii="宋体" w:hAnsi="宋体" w:eastAsia="方正仿宋_GBK" w:cs="方正仿宋_GBK"/>
          <w:sz w:val="32"/>
          <w:szCs w:val="32"/>
          <w:lang w:eastAsia="zh-CN"/>
        </w:rPr>
        <w:t>宾川</w:t>
      </w:r>
      <w:r>
        <w:rPr>
          <w:rFonts w:hint="eastAsia" w:ascii="宋体" w:hAnsi="宋体" w:eastAsia="方正仿宋_GBK" w:cs="方正仿宋_GBK"/>
          <w:sz w:val="32"/>
          <w:szCs w:val="32"/>
        </w:rPr>
        <w:t>分局要切实承担事中事后监管主要责任，履行辖区监管职责，按照相关法律法规及《关于进一步完善建设项目环境保护“三同时”及竣工环境保护自主验收监管工作机制的意见》（环执法〔2021〕70号）要求，加强对该项目的环境保护“三同时”、竣工环境保护自主验收、日常运行等执法监管工作</w:t>
      </w:r>
      <w:r>
        <w:rPr>
          <w:rFonts w:hint="eastAsia" w:ascii="宋体" w:hAnsi="宋体"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snapToGrid w:val="0"/>
        <w:spacing w:line="560" w:lineRule="exact"/>
        <w:ind w:right="21" w:rightChars="10"/>
        <w:rPr>
          <w:rFonts w:hint="eastAsia" w:ascii="宋体" w:hAnsi="宋体" w:eastAsia="方正仿宋_GBK" w:cs="方正仿宋_GBK"/>
          <w:sz w:val="32"/>
          <w:szCs w:val="32"/>
          <w:lang w:val="zh-CN"/>
        </w:rPr>
      </w:pPr>
    </w:p>
    <w:p>
      <w:pPr>
        <w:keepNext w:val="0"/>
        <w:keepLines w:val="0"/>
        <w:pageBreakBefore w:val="0"/>
        <w:widowControl w:val="0"/>
        <w:kinsoku/>
        <w:wordWrap/>
        <w:overflowPunct/>
        <w:topLinePunct w:val="0"/>
        <w:autoSpaceDE/>
        <w:autoSpaceDN/>
        <w:bidi w:val="0"/>
        <w:snapToGrid w:val="0"/>
        <w:spacing w:line="560" w:lineRule="exact"/>
        <w:ind w:right="21" w:rightChars="10"/>
        <w:rPr>
          <w:rFonts w:hint="eastAsia" w:ascii="宋体" w:hAnsi="宋体" w:eastAsia="方正仿宋_GBK" w:cs="方正仿宋_GBK"/>
          <w:sz w:val="32"/>
          <w:szCs w:val="32"/>
          <w:lang w:val="zh-CN"/>
        </w:rPr>
      </w:pPr>
    </w:p>
    <w:p>
      <w:pPr>
        <w:keepNext w:val="0"/>
        <w:keepLines w:val="0"/>
        <w:pageBreakBefore w:val="0"/>
        <w:widowControl w:val="0"/>
        <w:kinsoku/>
        <w:wordWrap/>
        <w:overflowPunct/>
        <w:topLinePunct w:val="0"/>
        <w:autoSpaceDE/>
        <w:autoSpaceDN/>
        <w:bidi w:val="0"/>
        <w:snapToGrid w:val="0"/>
        <w:spacing w:line="560" w:lineRule="exact"/>
        <w:ind w:right="21" w:rightChars="10"/>
        <w:rPr>
          <w:rFonts w:hint="eastAsia" w:ascii="宋体" w:hAnsi="宋体" w:eastAsia="方正仿宋_GBK" w:cs="方正仿宋_GBK"/>
          <w:sz w:val="32"/>
          <w:szCs w:val="32"/>
          <w:lang w:val="zh-CN"/>
        </w:rPr>
      </w:pPr>
    </w:p>
    <w:p>
      <w:pPr>
        <w:keepNext w:val="0"/>
        <w:keepLines w:val="0"/>
        <w:pageBreakBefore w:val="0"/>
        <w:widowControl w:val="0"/>
        <w:kinsoku/>
        <w:wordWrap/>
        <w:overflowPunct/>
        <w:topLinePunct w:val="0"/>
        <w:autoSpaceDE/>
        <w:autoSpaceDN/>
        <w:bidi w:val="0"/>
        <w:snapToGrid w:val="0"/>
        <w:spacing w:line="560" w:lineRule="exact"/>
        <w:ind w:right="21" w:rightChars="10" w:firstLine="4160" w:firstLineChars="1300"/>
        <w:rPr>
          <w:rFonts w:hint="eastAsia" w:ascii="宋体" w:hAnsi="宋体" w:eastAsia="方正仿宋_GBK" w:cs="方正仿宋_GBK"/>
          <w:sz w:val="32"/>
          <w:szCs w:val="32"/>
        </w:rPr>
      </w:pPr>
      <w:r>
        <w:rPr>
          <w:rFonts w:hint="eastAsia" w:ascii="宋体" w:hAnsi="宋体" w:eastAsia="方正仿宋_GBK" w:cs="方正仿宋_GBK"/>
          <w:sz w:val="32"/>
          <w:szCs w:val="32"/>
          <w:lang w:val="zh-CN"/>
        </w:rPr>
        <w:t>大理白族自治州</w:t>
      </w:r>
      <w:r>
        <w:rPr>
          <w:rFonts w:hint="eastAsia" w:ascii="宋体" w:hAnsi="宋体" w:eastAsia="方正仿宋_GBK" w:cs="方正仿宋_GBK"/>
          <w:sz w:val="32"/>
          <w:szCs w:val="32"/>
        </w:rPr>
        <w:t>生态环境</w:t>
      </w:r>
      <w:r>
        <w:rPr>
          <w:rFonts w:hint="eastAsia" w:ascii="宋体" w:hAnsi="宋体" w:eastAsia="方正仿宋_GBK" w:cs="方正仿宋_GBK"/>
          <w:sz w:val="32"/>
          <w:szCs w:val="32"/>
          <w:lang w:val="zh-CN"/>
        </w:rPr>
        <w:t>局</w:t>
      </w:r>
    </w:p>
    <w:p>
      <w:pPr>
        <w:keepNext w:val="0"/>
        <w:keepLines w:val="0"/>
        <w:pageBreakBefore w:val="0"/>
        <w:widowControl w:val="0"/>
        <w:kinsoku/>
        <w:wordWrap/>
        <w:overflowPunct/>
        <w:topLinePunct w:val="0"/>
        <w:autoSpaceDE/>
        <w:autoSpaceDN/>
        <w:bidi w:val="0"/>
        <w:snapToGrid w:val="0"/>
        <w:spacing w:line="560" w:lineRule="exact"/>
        <w:ind w:right="21" w:rightChars="10"/>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202</w:t>
      </w:r>
      <w:r>
        <w:rPr>
          <w:rFonts w:hint="eastAsia" w:ascii="宋体" w:hAnsi="宋体" w:eastAsia="方正仿宋_GBK" w:cs="方正仿宋_GBK"/>
          <w:sz w:val="32"/>
          <w:szCs w:val="32"/>
          <w:lang w:val="en-US" w:eastAsia="zh-CN"/>
        </w:rPr>
        <w:t>4</w:t>
      </w:r>
      <w:r>
        <w:rPr>
          <w:rFonts w:hint="eastAsia" w:ascii="宋体" w:hAnsi="宋体" w:eastAsia="方正仿宋_GBK" w:cs="方正仿宋_GBK"/>
          <w:sz w:val="32"/>
          <w:szCs w:val="32"/>
        </w:rPr>
        <w:t>年</w:t>
      </w:r>
      <w:r>
        <w:rPr>
          <w:rFonts w:hint="eastAsia" w:ascii="宋体" w:hAnsi="宋体" w:eastAsia="方正仿宋_GBK" w:cs="方正仿宋_GBK"/>
          <w:sz w:val="32"/>
          <w:szCs w:val="32"/>
          <w:lang w:val="en-US" w:eastAsia="zh-CN"/>
        </w:rPr>
        <w:t>8</w:t>
      </w:r>
      <w:r>
        <w:rPr>
          <w:rFonts w:hint="eastAsia" w:ascii="宋体" w:hAnsi="宋体" w:eastAsia="方正仿宋_GBK" w:cs="方正仿宋_GBK"/>
          <w:sz w:val="32"/>
          <w:szCs w:val="32"/>
        </w:rPr>
        <w:t>月</w:t>
      </w:r>
      <w:r>
        <w:rPr>
          <w:rFonts w:hint="eastAsia" w:ascii="宋体" w:hAnsi="宋体" w:eastAsia="方正仿宋_GBK" w:cs="方正仿宋_GBK"/>
          <w:sz w:val="32"/>
          <w:szCs w:val="32"/>
          <w:lang w:val="en-US" w:eastAsia="zh-CN"/>
        </w:rPr>
        <w:t>2</w:t>
      </w:r>
      <w:r>
        <w:rPr>
          <w:rFonts w:hint="default" w:ascii="宋体" w:hAnsi="宋体" w:eastAsia="方正仿宋_GBK" w:cs="方正仿宋_GBK"/>
          <w:sz w:val="32"/>
          <w:szCs w:val="32"/>
          <w:lang w:val="en" w:eastAsia="zh-CN"/>
        </w:rPr>
        <w:t>7</w:t>
      </w:r>
      <w:r>
        <w:rPr>
          <w:rFonts w:hint="eastAsia" w:ascii="宋体" w:hAnsi="宋体" w:eastAsia="方正仿宋_GBK" w:cs="方正仿宋_GBK"/>
          <w:sz w:val="32"/>
          <w:szCs w:val="32"/>
        </w:rPr>
        <w:t>日</w:t>
      </w:r>
    </w:p>
    <w:p>
      <w:pPr>
        <w:tabs>
          <w:tab w:val="left" w:pos="360"/>
        </w:tabs>
        <w:snapToGrid w:val="0"/>
        <w:spacing w:line="570" w:lineRule="exact"/>
        <w:rPr>
          <w:rFonts w:ascii="宋体" w:hAnsi="宋体" w:eastAsia="仿宋_GB2312"/>
          <w:color w:val="000000"/>
          <w:sz w:val="32"/>
          <w:szCs w:val="32"/>
        </w:rPr>
      </w:pPr>
    </w:p>
    <w:p/>
    <w:p>
      <w:pPr>
        <w:pStyle w:val="2"/>
      </w:pPr>
    </w:p>
    <w:p/>
    <w:p>
      <w:pPr>
        <w:pStyle w:val="2"/>
        <w:sectPr>
          <w:headerReference r:id="rId3" w:type="default"/>
          <w:footerReference r:id="rId4" w:type="default"/>
          <w:pgSz w:w="11906" w:h="16838"/>
          <w:pgMar w:top="2041" w:right="1531" w:bottom="2041" w:left="1531" w:header="851" w:footer="992" w:gutter="0"/>
          <w:pgNumType w:fmt="decimal" w:start="1"/>
          <w:cols w:space="0" w:num="1"/>
          <w:docGrid w:type="lines" w:linePitch="318" w:charSpace="0"/>
        </w:sectPr>
      </w:pPr>
    </w:p>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2"/>
      </w:pPr>
    </w:p>
    <w:p>
      <w:pPr>
        <w:rPr>
          <w:rFonts w:ascii="宋体" w:hAnsi="宋体"/>
        </w:rPr>
      </w:pPr>
    </w:p>
    <w:p>
      <w:pPr>
        <w:keepNext w:val="0"/>
        <w:keepLines w:val="0"/>
        <w:pageBreakBefore w:val="0"/>
        <w:widowControl w:val="0"/>
        <w:kinsoku/>
        <w:wordWrap/>
        <w:overflowPunct/>
        <w:topLinePunct w:val="0"/>
        <w:autoSpaceDE/>
        <w:autoSpaceDN/>
        <w:bidi w:val="0"/>
        <w:adjustRightInd/>
        <w:snapToGrid w:val="0"/>
        <w:spacing w:line="560" w:lineRule="exact"/>
        <w:ind w:firstLine="268" w:firstLineChars="100"/>
        <w:jc w:val="both"/>
        <w:textAlignment w:val="auto"/>
        <w:outlineLvl w:val="9"/>
        <w:rPr>
          <w:rFonts w:hint="eastAsia" w:ascii="宋体" w:hAnsi="宋体" w:eastAsia="仿宋_GB2312"/>
          <w:spacing w:val="-6"/>
          <w:sz w:val="28"/>
          <w:szCs w:val="28"/>
        </w:rPr>
      </w:pPr>
      <w:r>
        <w:rPr>
          <w:rFonts w:hint="eastAsia" w:ascii="宋体" w:hAnsi="宋体" w:eastAsia="仿宋_GB2312"/>
          <w:spacing w:val="-6"/>
          <w:sz w:val="28"/>
          <w:szCs w:val="28"/>
        </w:rPr>
        <w:pict>
          <v:line id="直线 2" o:spid="_x0000_s1032" o:spt="20" style="position:absolute;left:0pt;flip:y;margin-left:0pt;margin-top:0.8pt;height:0pt;width:436.55pt;z-index:251662336;mso-width-relative:page;mso-height-relative:page;" filled="f" stroked="t" coordsize="21600,21600" o:gfxdata="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4hQofSAAAABAEAAA8AAAAAAAAAAQAgAAAAIgAA&#10;AGRycy9kb3ducmV2LnhtbFBLAQIUABQAAAAIAIdO4kAlbe6z1QEAAJgDAAAOAAAAAAAAAAEAIAAA&#10;ACEBAABkcnMvZTJvRG9jLnhtbFBLBQYAAAAABgAGAFkBAABoBQAAAAA=&#10;">
            <v:path arrowok="t"/>
            <v:fill on="f" focussize="0,0"/>
            <v:stroke weight="0.99pt" color="#000000" joinstyle="round"/>
            <v:imagedata o:title=""/>
            <o:lock v:ext="edit" aspectratio="f"/>
          </v:line>
        </w:pict>
      </w:r>
      <w:r>
        <w:rPr>
          <w:rFonts w:hint="eastAsia" w:ascii="宋体" w:hAnsi="宋体" w:eastAsia="仿宋_GB2312"/>
          <w:spacing w:val="-6"/>
          <w:sz w:val="28"/>
          <w:szCs w:val="28"/>
        </w:rPr>
        <w:t>抄送：</w:t>
      </w:r>
      <w:r>
        <w:rPr>
          <w:rFonts w:hint="eastAsia" w:ascii="宋体" w:hAnsi="宋体" w:eastAsia="仿宋_GB2312"/>
          <w:spacing w:val="-6"/>
          <w:sz w:val="28"/>
          <w:szCs w:val="28"/>
          <w:lang w:val="en-US" w:eastAsia="zh-CN"/>
        </w:rPr>
        <w:t>州生态环境保护综合行政执法支队</w:t>
      </w:r>
      <w:r>
        <w:rPr>
          <w:rFonts w:hint="eastAsia" w:ascii="宋体" w:hAnsi="宋体" w:eastAsia="仿宋_GB2312"/>
          <w:spacing w:val="-6"/>
          <w:sz w:val="28"/>
          <w:szCs w:val="28"/>
        </w:rPr>
        <w:t>，州建设项目环境审核受理中心，</w:t>
      </w:r>
    </w:p>
    <w:p>
      <w:pPr>
        <w:snapToGrid w:val="0"/>
        <w:spacing w:line="570" w:lineRule="exact"/>
        <w:ind w:firstLine="1072" w:firstLineChars="400"/>
        <w:rPr>
          <w:rFonts w:ascii="宋体" w:hAnsi="宋体" w:eastAsia="仿宋_GB2312"/>
          <w:color w:val="000000"/>
          <w:spacing w:val="-6"/>
          <w:sz w:val="32"/>
          <w:szCs w:val="32"/>
        </w:rPr>
      </w:pPr>
      <w:r>
        <w:rPr>
          <w:rFonts w:hint="eastAsia" w:ascii="宋体" w:hAnsi="宋体" w:eastAsia="仿宋_GB2312"/>
          <w:spacing w:val="-6"/>
          <w:sz w:val="28"/>
          <w:szCs w:val="28"/>
          <w:lang w:val="en-US" w:eastAsia="zh-CN"/>
        </w:rPr>
        <w:t>州生态环境</w:t>
      </w:r>
      <w:r>
        <w:rPr>
          <w:rFonts w:hint="eastAsia" w:ascii="宋体" w:hAnsi="宋体" w:eastAsia="仿宋_GB2312"/>
          <w:spacing w:val="-6"/>
          <w:sz w:val="28"/>
          <w:szCs w:val="28"/>
        </w:rPr>
        <w:t>局</w:t>
      </w:r>
      <w:r>
        <w:rPr>
          <w:rFonts w:hint="eastAsia" w:ascii="宋体" w:hAnsi="宋体" w:eastAsia="仿宋_GB2312"/>
          <w:spacing w:val="-6"/>
          <w:sz w:val="28"/>
          <w:szCs w:val="28"/>
          <w:lang w:val="en-US" w:eastAsia="zh-CN"/>
        </w:rPr>
        <w:t>宾川分局，云南佳泽环境科技有限公司</w:t>
      </w:r>
    </w:p>
    <w:p>
      <w:pPr>
        <w:snapToGrid w:val="0"/>
        <w:spacing w:line="570" w:lineRule="exact"/>
        <w:ind w:right="204" w:rightChars="97" w:firstLine="210" w:firstLineChars="100"/>
        <w:rPr>
          <w:rFonts w:ascii="宋体" w:hAnsi="宋体" w:eastAsia="仿宋_GB2312" w:cs="仿宋_GB2312"/>
          <w:color w:val="000000"/>
          <w:sz w:val="32"/>
          <w:szCs w:val="32"/>
        </w:rPr>
      </w:pPr>
      <w:r>
        <w:rPr>
          <w:rFonts w:ascii="宋体" w:hAnsi="宋体"/>
        </w:rPr>
        <w:pict>
          <v:line id="直线 3" o:spid="_x0000_s1028" o:spt="20" style="position:absolute;left:0pt;margin-left:0pt;margin-top:2.4pt;height:0pt;width:436.55pt;z-index:251659264;mso-width-relative:page;mso-height-relative:page;" coordsize="21600,21600">
            <v:path arrowok="t"/>
            <v:fill focussize="0,0"/>
            <v:stroke weight="0.71pt"/>
            <v:imagedata o:title=""/>
            <o:lock v:ext="edit"/>
          </v:line>
        </w:pict>
      </w:r>
      <w:r>
        <w:rPr>
          <w:rFonts w:ascii="宋体" w:hAnsi="宋体"/>
        </w:rPr>
        <w:pict>
          <v:line id="直线 4" o:spid="_x0000_s1029" o:spt="20" style="position:absolute;left:0pt;margin-left:0pt;margin-top:30.6pt;height:0pt;width:436.55pt;z-index:251660288;mso-width-relative:page;mso-height-relative:page;" coordsize="21600,21600">
            <v:path arrowok="t"/>
            <v:fill focussize="0,0"/>
            <v:stroke weight="0.99pt"/>
            <v:imagedata o:title=""/>
            <o:lock v:ext="edit"/>
          </v:line>
        </w:pict>
      </w:r>
      <w:r>
        <w:rPr>
          <w:rFonts w:hint="eastAsia" w:ascii="宋体" w:hAnsi="宋体" w:eastAsia="仿宋_GB2312"/>
          <w:color w:val="000000"/>
          <w:sz w:val="32"/>
          <w:szCs w:val="32"/>
        </w:rPr>
        <w:t>大理白族自治州生态环境局</w:t>
      </w:r>
      <w:r>
        <w:rPr>
          <w:rFonts w:ascii="宋体" w:hAnsi="宋体" w:eastAsia="仿宋_GB2312"/>
          <w:color w:val="000000"/>
          <w:sz w:val="32"/>
          <w:szCs w:val="32"/>
        </w:rPr>
        <w:t xml:space="preserve">         202</w:t>
      </w:r>
      <w:r>
        <w:rPr>
          <w:rFonts w:hint="eastAsia" w:ascii="宋体" w:hAnsi="宋体" w:eastAsia="仿宋_GB2312"/>
          <w:color w:val="000000"/>
          <w:sz w:val="32"/>
          <w:szCs w:val="32"/>
          <w:lang w:val="en-US" w:eastAsia="zh-CN"/>
        </w:rPr>
        <w:t>4</w:t>
      </w:r>
      <w:r>
        <w:rPr>
          <w:rFonts w:hint="eastAsia" w:ascii="宋体" w:hAnsi="宋体" w:eastAsia="仿宋_GB2312"/>
          <w:color w:val="000000"/>
          <w:sz w:val="32"/>
          <w:szCs w:val="32"/>
        </w:rPr>
        <w:t>年</w:t>
      </w:r>
      <w:r>
        <w:rPr>
          <w:rFonts w:hint="eastAsia" w:ascii="宋体" w:hAnsi="宋体" w:eastAsia="仿宋_GB2312"/>
          <w:color w:val="000000"/>
          <w:sz w:val="32"/>
          <w:szCs w:val="32"/>
          <w:lang w:val="en-US" w:eastAsia="zh-CN"/>
        </w:rPr>
        <w:t>8</w:t>
      </w:r>
      <w:r>
        <w:rPr>
          <w:rFonts w:hint="eastAsia" w:ascii="宋体" w:hAnsi="宋体" w:eastAsia="仿宋_GB2312"/>
          <w:color w:val="000000"/>
          <w:sz w:val="32"/>
          <w:szCs w:val="32"/>
        </w:rPr>
        <w:t>月</w:t>
      </w:r>
      <w:bookmarkStart w:id="7" w:name="_GoBack"/>
      <w:bookmarkEnd w:id="7"/>
      <w:r>
        <w:rPr>
          <w:rFonts w:hint="eastAsia" w:ascii="宋体" w:hAnsi="宋体" w:eastAsia="仿宋_GB2312"/>
          <w:color w:val="000000"/>
          <w:sz w:val="32"/>
          <w:szCs w:val="32"/>
          <w:lang w:val="en-US" w:eastAsia="zh-CN"/>
        </w:rPr>
        <w:t>2</w:t>
      </w:r>
      <w:r>
        <w:rPr>
          <w:rFonts w:hint="default" w:ascii="宋体" w:hAnsi="宋体" w:eastAsia="仿宋_GB2312"/>
          <w:color w:val="000000"/>
          <w:sz w:val="32"/>
          <w:szCs w:val="32"/>
          <w:lang w:val="en" w:eastAsia="zh-CN"/>
        </w:rPr>
        <w:t>7</w:t>
      </w:r>
      <w:r>
        <w:rPr>
          <w:rFonts w:hint="eastAsia" w:ascii="宋体" w:hAnsi="宋体" w:eastAsia="仿宋_GB2312"/>
          <w:color w:val="000000"/>
          <w:sz w:val="32"/>
          <w:szCs w:val="32"/>
        </w:rPr>
        <w:t>日印</w:t>
      </w:r>
      <w:r>
        <w:rPr>
          <w:rFonts w:hint="eastAsia" w:ascii="宋体" w:hAnsi="宋体" w:eastAsia="仿宋_GB2312"/>
          <w:color w:val="000000"/>
          <w:sz w:val="28"/>
          <w:szCs w:val="28"/>
        </w:rPr>
        <w:t>发</w:t>
      </w:r>
    </w:p>
    <w:sectPr>
      <w:footerReference r:id="rId5" w:type="default"/>
      <w:pgSz w:w="11906" w:h="16838"/>
      <w:pgMar w:top="2041" w:right="1531" w:bottom="2041" w:left="1531" w:header="851" w:footer="992" w:gutter="0"/>
      <w:pgNumType w:fmt="decimal" w:start="1"/>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00007A87" w:usb1="80000000" w:usb2="00000008"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59" o:spid="_x0000_s205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A293B3A"/>
    <w:rsid w:val="0004010A"/>
    <w:rsid w:val="00097DA6"/>
    <w:rsid w:val="000F7D4F"/>
    <w:rsid w:val="001A6A95"/>
    <w:rsid w:val="002068CB"/>
    <w:rsid w:val="0023737B"/>
    <w:rsid w:val="002841CF"/>
    <w:rsid w:val="002B7461"/>
    <w:rsid w:val="003052A3"/>
    <w:rsid w:val="00307A97"/>
    <w:rsid w:val="003535EE"/>
    <w:rsid w:val="005204AE"/>
    <w:rsid w:val="005C71EE"/>
    <w:rsid w:val="005F6B1F"/>
    <w:rsid w:val="006D399E"/>
    <w:rsid w:val="007B06A2"/>
    <w:rsid w:val="007F07C8"/>
    <w:rsid w:val="00943BD8"/>
    <w:rsid w:val="009A391D"/>
    <w:rsid w:val="00A0416F"/>
    <w:rsid w:val="00B929F8"/>
    <w:rsid w:val="00B95369"/>
    <w:rsid w:val="00BD75A0"/>
    <w:rsid w:val="00BE1A05"/>
    <w:rsid w:val="00C0068B"/>
    <w:rsid w:val="00C70B2E"/>
    <w:rsid w:val="00CC21DF"/>
    <w:rsid w:val="00E07FD6"/>
    <w:rsid w:val="00E87C31"/>
    <w:rsid w:val="00EE4D0A"/>
    <w:rsid w:val="00F0243A"/>
    <w:rsid w:val="00F43537"/>
    <w:rsid w:val="00F81BC6"/>
    <w:rsid w:val="00F83969"/>
    <w:rsid w:val="00FF0254"/>
    <w:rsid w:val="03D11011"/>
    <w:rsid w:val="04715005"/>
    <w:rsid w:val="06950A6F"/>
    <w:rsid w:val="080C63D5"/>
    <w:rsid w:val="12AF6B27"/>
    <w:rsid w:val="18F173E8"/>
    <w:rsid w:val="1AB418C1"/>
    <w:rsid w:val="29BB5CC1"/>
    <w:rsid w:val="2D9F3B64"/>
    <w:rsid w:val="3A293B3A"/>
    <w:rsid w:val="3BE7461E"/>
    <w:rsid w:val="3FFFB907"/>
    <w:rsid w:val="4B976B72"/>
    <w:rsid w:val="4D8052E0"/>
    <w:rsid w:val="4E787471"/>
    <w:rsid w:val="4E9C3ED8"/>
    <w:rsid w:val="505519BA"/>
    <w:rsid w:val="52B32E75"/>
    <w:rsid w:val="60AF1FB7"/>
    <w:rsid w:val="60B150CA"/>
    <w:rsid w:val="64420152"/>
    <w:rsid w:val="6BEFA9F1"/>
    <w:rsid w:val="73FBC522"/>
    <w:rsid w:val="77E7ED57"/>
    <w:rsid w:val="7D6F5B15"/>
    <w:rsid w:val="7D7FB746"/>
    <w:rsid w:val="BC7CC777"/>
    <w:rsid w:val="C0EFF945"/>
    <w:rsid w:val="DABFC4FF"/>
    <w:rsid w:val="F79BCA8C"/>
    <w:rsid w:val="F9FFD875"/>
    <w:rsid w:val="FDF3A9F1"/>
    <w:rsid w:val="FED69AA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qFormat/>
    <w:uiPriority w:val="0"/>
    <w:pPr>
      <w:widowControl/>
      <w:jc w:val="left"/>
    </w:pPr>
    <w:rPr>
      <w:rFonts w:ascii="宋体" w:hAnsi="Courier New" w:cs="Courier New"/>
    </w:rPr>
  </w:style>
  <w:style w:type="paragraph" w:styleId="3">
    <w:name w:val="Body Text Indent"/>
    <w:basedOn w:val="1"/>
    <w:qFormat/>
    <w:uiPriority w:val="0"/>
    <w:pPr>
      <w:spacing w:after="120"/>
      <w:ind w:left="420" w:leftChars="200"/>
    </w:p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Footer Char"/>
    <w:basedOn w:val="8"/>
    <w:link w:val="4"/>
    <w:semiHidden/>
    <w:qFormat/>
    <w:locked/>
    <w:uiPriority w:val="99"/>
    <w:rPr>
      <w:rFonts w:cs="Times New Roman"/>
      <w:sz w:val="18"/>
      <w:szCs w:val="18"/>
    </w:rPr>
  </w:style>
  <w:style w:type="character" w:customStyle="1" w:styleId="11">
    <w:name w:val="Header Char"/>
    <w:basedOn w:val="8"/>
    <w:link w:val="5"/>
    <w:semiHidden/>
    <w:qFormat/>
    <w:locked/>
    <w:uiPriority w:val="99"/>
    <w:rPr>
      <w:rFonts w:cs="Times New Roman"/>
      <w:sz w:val="18"/>
      <w:szCs w:val="18"/>
    </w:rPr>
  </w:style>
  <w:style w:type="paragraph" w:customStyle="1" w:styleId="12">
    <w:name w:val="msonormalcxspmiddle"/>
    <w:basedOn w:val="1"/>
    <w:qFormat/>
    <w:uiPriority w:val="99"/>
    <w:pPr>
      <w:widowControl/>
      <w:spacing w:before="100" w:beforeAutospacing="1" w:after="100" w:afterAutospacing="1"/>
      <w:jc w:val="left"/>
    </w:pPr>
    <w:rPr>
      <w:rFonts w:ascii="宋体" w:hAnsi="宋体" w:cs="宋体"/>
      <w:kern w:val="0"/>
      <w:sz w:val="24"/>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9" textRotate="1"/>
    <customShpInfo spid="_x0000_s1032"/>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260</Words>
  <Characters>1484</Characters>
  <Lines>0</Lines>
  <Paragraphs>0</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2022-12-09T08:34:00Z</dcterms:created>
  <dc:creator>系统管理员</dc:creator>
  <cp:lastModifiedBy>偷得浮生半日闲</cp:lastModifiedBy>
  <cp:lastPrinted>2024-08-27T15:51:06Z</cp:lastPrinted>
  <dcterms:modified xsi:type="dcterms:W3CDTF">2024-08-27T15:51:07Z</dcterms:modified>
  <dc:title>大环审〔2022〕号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