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方正仿宋_GBK"/>
          <w:sz w:val="32"/>
          <w:szCs w:val="32"/>
        </w:rPr>
      </w:pPr>
      <w:r>
        <w:rPr>
          <w:rFonts w:ascii="Times New Roman" w:hAnsi="Times New Roman" w:eastAsia="方正仿宋_GBK"/>
          <w:sz w:val="32"/>
          <w:szCs w:val="32"/>
        </w:rPr>
        <w:t xml:space="preserve">附件一  </w:t>
      </w:r>
    </w:p>
    <w:p>
      <w:pPr>
        <w:spacing w:line="56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rPr>
        <w:t>参与函格式</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大理州财政局：</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根据贵方 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年大理州本级社会保险基金定期存款竞争选择公告，             （姓名和职务）被正式授权代表参与银行            （参与银行名称、地址）向贵方提交下述文件正本壹份，副本壹份：</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一、指标数据一览表、及指标数据一览表中相关数据来源</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二、资格证明文件（营业执照、组织机构代码证、金融许可证复印件）</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三、分行负责人授权委托书、被授权人身份证（复印件）</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四、竞争选择文件要求参与银行提交的其他文件。</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据此函，参与银行承诺如下：</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一、我们同意按照竞争选择文件要求委派代表参加竞争选择。</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二、我们已详细研究了全部竞争选择文件，包括竞争选择文件的修改书（如果有的话）及有关附件，我们已完全理解竞争选择文件并同意放弃提出对竞争选择文件误解的权利。</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三、我们已按照竞争文件提供全部资料，资料涉及事项真实、完整，不存在故意隐瞒、虚报漏报等情况；我们同意向贵方提供贵方可能进一步要求的与本次竞争选择有关的任何证据或资料。</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参与银行确认的通信地址为：</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 xml:space="preserve">地址：                                    </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 xml:space="preserve">电话、传真：                              </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 xml:space="preserve">邮政编码：                                </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 xml:space="preserve">参与银行授权代表签名：                    </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 xml:space="preserve">参与银行名称（公章）：                     </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日期：      年       月      日</w:t>
      </w:r>
    </w:p>
    <w:p>
      <w:pPr>
        <w:spacing w:line="560" w:lineRule="exact"/>
        <w:ind w:firstLine="646" w:firstLineChars="202"/>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附件二  一览表格式</w:t>
      </w:r>
    </w:p>
    <w:p>
      <w:pPr>
        <w:spacing w:line="56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rPr>
        <w:t>202</w:t>
      </w:r>
      <w:r>
        <w:rPr>
          <w:rFonts w:hint="eastAsia" w:ascii="方正小标宋简体" w:hAnsi="Times New Roman" w:eastAsia="方正小标宋简体"/>
          <w:sz w:val="36"/>
          <w:szCs w:val="36"/>
          <w:lang w:val="en-US" w:eastAsia="zh-CN"/>
        </w:rPr>
        <w:t>4</w:t>
      </w:r>
      <w:r>
        <w:rPr>
          <w:rFonts w:hint="eastAsia" w:ascii="方正小标宋简体" w:hAnsi="Times New Roman" w:eastAsia="方正小标宋简体"/>
          <w:sz w:val="36"/>
          <w:szCs w:val="36"/>
        </w:rPr>
        <w:t>年大理州本级社会保险基金定期存款银行</w:t>
      </w:r>
    </w:p>
    <w:p>
      <w:pPr>
        <w:spacing w:line="56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rPr>
        <w:t>竞争选择指标一览表</w:t>
      </w:r>
    </w:p>
    <w:tbl>
      <w:tblPr>
        <w:tblStyle w:val="3"/>
        <w:tblW w:w="8820" w:type="dxa"/>
        <w:jc w:val="center"/>
        <w:tblInd w:w="0" w:type="dxa"/>
        <w:tblLayout w:type="fixed"/>
        <w:tblCellMar>
          <w:top w:w="0" w:type="dxa"/>
          <w:left w:w="108" w:type="dxa"/>
          <w:bottom w:w="0" w:type="dxa"/>
          <w:right w:w="108" w:type="dxa"/>
        </w:tblCellMar>
      </w:tblPr>
      <w:tblGrid>
        <w:gridCol w:w="989"/>
        <w:gridCol w:w="2100"/>
        <w:gridCol w:w="4110"/>
        <w:gridCol w:w="1621"/>
      </w:tblGrid>
      <w:tr>
        <w:tblPrEx>
          <w:tblLayout w:type="fixed"/>
          <w:tblCellMar>
            <w:top w:w="0" w:type="dxa"/>
            <w:left w:w="108" w:type="dxa"/>
            <w:bottom w:w="0" w:type="dxa"/>
            <w:right w:w="108" w:type="dxa"/>
          </w:tblCellMar>
        </w:tblPrEx>
        <w:trPr>
          <w:trHeight w:val="538" w:hRule="atLeast"/>
          <w:jc w:val="center"/>
        </w:trPr>
        <w:tc>
          <w:tcPr>
            <w:tcW w:w="989"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ascii="Times New Roman" w:hAnsi="Times New Roman" w:eastAsia="方正仿宋_GBK"/>
                <w:sz w:val="32"/>
                <w:szCs w:val="32"/>
              </w:rPr>
            </w:pPr>
            <w:r>
              <w:rPr>
                <w:rFonts w:hint="eastAsia" w:ascii="Times New Roman" w:hAnsi="Times New Roman" w:eastAsia="方正仿宋_GBK"/>
                <w:sz w:val="32"/>
                <w:szCs w:val="32"/>
                <w:lang w:val="en-US" w:eastAsia="zh-CN"/>
              </w:rPr>
              <w:t>2023</w:t>
            </w:r>
            <w:r>
              <w:rPr>
                <w:rFonts w:ascii="Times New Roman" w:hAnsi="Times New Roman" w:eastAsia="方正仿宋_GBK"/>
                <w:sz w:val="32"/>
                <w:szCs w:val="32"/>
              </w:rPr>
              <w:t>年度总行财务指标</w:t>
            </w:r>
          </w:p>
        </w:tc>
        <w:tc>
          <w:tcPr>
            <w:tcW w:w="621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资产总额（万元）</w:t>
            </w:r>
          </w:p>
        </w:tc>
        <w:tc>
          <w:tcPr>
            <w:tcW w:w="1621"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r>
      <w:tr>
        <w:tblPrEx>
          <w:tblLayout w:type="fixed"/>
          <w:tblCellMar>
            <w:top w:w="0" w:type="dxa"/>
            <w:left w:w="108" w:type="dxa"/>
            <w:bottom w:w="0" w:type="dxa"/>
            <w:right w:w="108" w:type="dxa"/>
          </w:tblCellMar>
        </w:tblPrEx>
        <w:trPr>
          <w:trHeight w:val="98" w:hRule="atLeast"/>
          <w:jc w:val="center"/>
        </w:trPr>
        <w:tc>
          <w:tcPr>
            <w:tcW w:w="989"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c>
          <w:tcPr>
            <w:tcW w:w="621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资本充足率%</w:t>
            </w:r>
          </w:p>
        </w:tc>
        <w:tc>
          <w:tcPr>
            <w:tcW w:w="1621"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　</w:t>
            </w:r>
          </w:p>
        </w:tc>
      </w:tr>
      <w:tr>
        <w:tblPrEx>
          <w:tblLayout w:type="fixed"/>
          <w:tblCellMar>
            <w:top w:w="0" w:type="dxa"/>
            <w:left w:w="108" w:type="dxa"/>
            <w:bottom w:w="0" w:type="dxa"/>
            <w:right w:w="108" w:type="dxa"/>
          </w:tblCellMar>
        </w:tblPrEx>
        <w:trPr>
          <w:trHeight w:val="460" w:hRule="atLeast"/>
          <w:jc w:val="center"/>
        </w:trPr>
        <w:tc>
          <w:tcPr>
            <w:tcW w:w="989"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c>
          <w:tcPr>
            <w:tcW w:w="621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资产利润率%</w:t>
            </w:r>
          </w:p>
        </w:tc>
        <w:tc>
          <w:tcPr>
            <w:tcW w:w="1621"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r>
      <w:tr>
        <w:tblPrEx>
          <w:tblLayout w:type="fixed"/>
          <w:tblCellMar>
            <w:top w:w="0" w:type="dxa"/>
            <w:left w:w="108" w:type="dxa"/>
            <w:bottom w:w="0" w:type="dxa"/>
            <w:right w:w="108" w:type="dxa"/>
          </w:tblCellMar>
        </w:tblPrEx>
        <w:trPr>
          <w:trHeight w:val="273" w:hRule="atLeast"/>
          <w:jc w:val="center"/>
        </w:trPr>
        <w:tc>
          <w:tcPr>
            <w:tcW w:w="989"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c>
          <w:tcPr>
            <w:tcW w:w="621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不良贷款率%</w:t>
            </w:r>
          </w:p>
        </w:tc>
        <w:tc>
          <w:tcPr>
            <w:tcW w:w="1621" w:type="dxa"/>
            <w:tcBorders>
              <w:top w:val="nil"/>
              <w:left w:val="nil"/>
              <w:bottom w:val="single" w:color="auto" w:sz="4" w:space="0"/>
              <w:right w:val="single" w:color="auto" w:sz="4" w:space="0"/>
            </w:tcBorders>
            <w:vAlign w:val="bottom"/>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　</w:t>
            </w:r>
          </w:p>
        </w:tc>
      </w:tr>
      <w:tr>
        <w:tblPrEx>
          <w:tblLayout w:type="fixed"/>
          <w:tblCellMar>
            <w:top w:w="0" w:type="dxa"/>
            <w:left w:w="108" w:type="dxa"/>
            <w:bottom w:w="0" w:type="dxa"/>
            <w:right w:w="108" w:type="dxa"/>
          </w:tblCellMar>
        </w:tblPrEx>
        <w:trPr>
          <w:trHeight w:val="273" w:hRule="atLeast"/>
          <w:jc w:val="center"/>
        </w:trPr>
        <w:tc>
          <w:tcPr>
            <w:tcW w:w="989"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c>
          <w:tcPr>
            <w:tcW w:w="621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拨备覆盖率%</w:t>
            </w:r>
          </w:p>
        </w:tc>
        <w:tc>
          <w:tcPr>
            <w:tcW w:w="1621" w:type="dxa"/>
            <w:tcBorders>
              <w:top w:val="nil"/>
              <w:left w:val="nil"/>
              <w:bottom w:val="single" w:color="auto" w:sz="4" w:space="0"/>
              <w:right w:val="single" w:color="auto" w:sz="4" w:space="0"/>
            </w:tcBorders>
            <w:vAlign w:val="bottom"/>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r>
      <w:tr>
        <w:tblPrEx>
          <w:tblLayout w:type="fixed"/>
          <w:tblCellMar>
            <w:top w:w="0" w:type="dxa"/>
            <w:left w:w="108" w:type="dxa"/>
            <w:bottom w:w="0" w:type="dxa"/>
            <w:right w:w="108" w:type="dxa"/>
          </w:tblCellMar>
        </w:tblPrEx>
        <w:trPr>
          <w:trHeight w:val="273" w:hRule="atLeast"/>
          <w:jc w:val="center"/>
        </w:trPr>
        <w:tc>
          <w:tcPr>
            <w:tcW w:w="989"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c>
          <w:tcPr>
            <w:tcW w:w="621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流动性比例%</w:t>
            </w:r>
          </w:p>
        </w:tc>
        <w:tc>
          <w:tcPr>
            <w:tcW w:w="1621" w:type="dxa"/>
            <w:tcBorders>
              <w:top w:val="nil"/>
              <w:left w:val="nil"/>
              <w:bottom w:val="single" w:color="auto" w:sz="4" w:space="0"/>
              <w:right w:val="single" w:color="auto" w:sz="4" w:space="0"/>
            </w:tcBorders>
            <w:vAlign w:val="bottom"/>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r>
      <w:tr>
        <w:tblPrEx>
          <w:tblLayout w:type="fixed"/>
          <w:tblCellMar>
            <w:top w:w="0" w:type="dxa"/>
            <w:left w:w="108" w:type="dxa"/>
            <w:bottom w:w="0" w:type="dxa"/>
            <w:right w:w="108" w:type="dxa"/>
          </w:tblCellMar>
        </w:tblPrEx>
        <w:trPr>
          <w:trHeight w:val="273" w:hRule="atLeast"/>
          <w:jc w:val="center"/>
        </w:trPr>
        <w:tc>
          <w:tcPr>
            <w:tcW w:w="989"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c>
          <w:tcPr>
            <w:tcW w:w="621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流动性覆盖率%</w:t>
            </w:r>
          </w:p>
        </w:tc>
        <w:tc>
          <w:tcPr>
            <w:tcW w:w="1621"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　</w:t>
            </w:r>
          </w:p>
        </w:tc>
      </w:tr>
      <w:tr>
        <w:tblPrEx>
          <w:tblLayout w:type="fixed"/>
          <w:tblCellMar>
            <w:top w:w="0" w:type="dxa"/>
            <w:left w:w="108" w:type="dxa"/>
            <w:bottom w:w="0" w:type="dxa"/>
            <w:right w:w="108" w:type="dxa"/>
          </w:tblCellMar>
        </w:tblPrEx>
        <w:trPr>
          <w:trHeight w:val="273" w:hRule="atLeast"/>
          <w:jc w:val="center"/>
        </w:trPr>
        <w:tc>
          <w:tcPr>
            <w:tcW w:w="989"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c>
          <w:tcPr>
            <w:tcW w:w="6210"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权益比例%</w:t>
            </w:r>
          </w:p>
        </w:tc>
        <w:tc>
          <w:tcPr>
            <w:tcW w:w="1621"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r>
      <w:tr>
        <w:tblPrEx>
          <w:tblLayout w:type="fixed"/>
          <w:tblCellMar>
            <w:top w:w="0" w:type="dxa"/>
            <w:left w:w="108" w:type="dxa"/>
            <w:bottom w:w="0" w:type="dxa"/>
            <w:right w:w="108" w:type="dxa"/>
          </w:tblCellMar>
        </w:tblPrEx>
        <w:trPr>
          <w:trHeight w:val="273" w:hRule="atLeast"/>
          <w:jc w:val="center"/>
        </w:trPr>
        <w:tc>
          <w:tcPr>
            <w:tcW w:w="30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截止上一季度存款情况</w:t>
            </w:r>
          </w:p>
        </w:tc>
        <w:tc>
          <w:tcPr>
            <w:tcW w:w="411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hint="eastAsia" w:ascii="Times New Roman" w:hAnsi="Times New Roman" w:eastAsia="方正仿宋_GBK"/>
                <w:sz w:val="32"/>
                <w:szCs w:val="32"/>
                <w:lang w:val="en-US" w:eastAsia="zh-CN"/>
              </w:rPr>
              <w:t>大理州</w:t>
            </w:r>
            <w:r>
              <w:rPr>
                <w:rFonts w:ascii="Times New Roman" w:hAnsi="Times New Roman" w:eastAsia="方正仿宋_GBK"/>
                <w:sz w:val="32"/>
                <w:szCs w:val="32"/>
              </w:rPr>
              <w:t>内一般性存款余额（万元）（按照人民银行统计口径）</w:t>
            </w:r>
          </w:p>
        </w:tc>
        <w:tc>
          <w:tcPr>
            <w:tcW w:w="1621"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r>
    </w:tbl>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参与银行授权代表签字：</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参与银行（公章）：</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日期：      年      月      日</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附件：（上述数据的来源，包括 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年度报表及其他资料）</w:t>
      </w:r>
      <w:r>
        <w:rPr>
          <w:rFonts w:hint="eastAsia" w:ascii="Times New Roman" w:hAnsi="Times New Roman" w:eastAsia="方正仿宋_GBK"/>
          <w:sz w:val="32"/>
          <w:szCs w:val="32"/>
          <w:lang w:eastAsia="zh-CN"/>
        </w:rPr>
        <w:t>。项目实施方届时将请国家金融监管总局大理州分局和人民银行大理州分行核实上述数据真实性。</w:t>
      </w:r>
    </w:p>
    <w:p>
      <w:pPr>
        <w:spacing w:line="560" w:lineRule="exact"/>
        <w:rPr>
          <w:rFonts w:hint="eastAsia" w:ascii="Times New Roman" w:hAnsi="Times New Roman" w:eastAsia="方正仿宋_GBK"/>
          <w:sz w:val="32"/>
          <w:szCs w:val="32"/>
        </w:rPr>
      </w:pP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r>
        <w:rPr>
          <w:rFonts w:ascii="Times New Roman" w:hAnsi="Times New Roman" w:eastAsia="方正仿宋_GBK"/>
          <w:sz w:val="32"/>
          <w:szCs w:val="32"/>
        </w:rPr>
        <w:t xml:space="preserve">附件三  </w:t>
      </w:r>
    </w:p>
    <w:p>
      <w:pPr>
        <w:spacing w:line="56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rPr>
        <w:t>授权委托书格式</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大理州财政局：</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兹委托            先生/女士作为            （分行名称）的合法代理人，以本行名义参加大理州本级社会保险基金定期存款的竞争选择。</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委托权限：参加竞争选择现场竞争，负责合同的签订、执行，以本行名义处理一切与之有关的事务。</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委托期间：本授权书自     年   月   日至     年   月   日有效。</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委托人名称（公章）：                受托人（签章）：</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法定代表人（签章）：                住所：</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委托人注册地/营业地：              身份证：</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邮政编码：                         邮编：</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电话：                             电话：</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传真：                             传真：</w:t>
      </w: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附件四 </w:t>
      </w:r>
    </w:p>
    <w:p>
      <w:pPr>
        <w:spacing w:line="560" w:lineRule="exact"/>
        <w:rPr>
          <w:rFonts w:hint="eastAsia" w:ascii="Times New Roman" w:hAnsi="Times New Roman" w:eastAsia="方正仿宋_GBK"/>
          <w:sz w:val="32"/>
          <w:szCs w:val="32"/>
        </w:rPr>
      </w:pPr>
      <w:r>
        <w:rPr>
          <w:rFonts w:ascii="Times New Roman" w:hAnsi="Times New Roman" w:eastAsia="方正仿宋_GBK"/>
          <w:sz w:val="32"/>
          <w:szCs w:val="32"/>
        </w:rPr>
        <w:t xml:space="preserve">  </w:t>
      </w:r>
    </w:p>
    <w:p>
      <w:pPr>
        <w:spacing w:line="56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rPr>
        <w:t>社会保险基金定期存款竞争选择参与银行廉政承诺书</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大理州财政局：</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本行承诺：在参与竞争选择过程中严格遵守相关廉政规定，不向资金存放主体相关负责人员输送利益，不将资金存放与资金存放主体相关负责人员在本行亲属的业绩、收入挂钩，不存在其他任何形式的利益输送行为。</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参与银行授权代表签字：</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参与银行（公章）：</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日期：      年      月      日</w:t>
      </w: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r>
        <w:rPr>
          <w:rFonts w:ascii="Times New Roman" w:hAnsi="Times New Roman" w:eastAsia="方正仿宋_GBK"/>
          <w:sz w:val="32"/>
          <w:szCs w:val="32"/>
        </w:rPr>
        <w:t xml:space="preserve">附件五   </w:t>
      </w:r>
    </w:p>
    <w:p>
      <w:pPr>
        <w:spacing w:line="56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rPr>
        <w:t>州级社保基金管理服务承诺</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大理州财政局：</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本行承诺：若本次竞争选择竞得存款，将按照以下内容提供相关服务：</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一、州级社保基金存放服务</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（一）分账核算：在我行存储所有社保基金均按照财政部门要求，分险种、分资金类型进行分账核算，提供分险种对账单。</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（二）支付划款：按照州财政局支付指令，按时足额划转资金。</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（三）对账：按州财政局要求，按</w:t>
      </w:r>
      <w:r>
        <w:rPr>
          <w:rFonts w:hint="eastAsia" w:ascii="Times New Roman" w:hAnsi="Times New Roman" w:eastAsia="方正仿宋_GBK"/>
          <w:sz w:val="32"/>
          <w:szCs w:val="32"/>
          <w:lang w:eastAsia="zh-CN"/>
        </w:rPr>
        <w:t>月提供</w:t>
      </w:r>
      <w:r>
        <w:rPr>
          <w:rFonts w:ascii="Times New Roman" w:hAnsi="Times New Roman" w:eastAsia="方正仿宋_GBK"/>
          <w:sz w:val="32"/>
          <w:szCs w:val="32"/>
        </w:rPr>
        <w:t>社保基金财政专户对账</w:t>
      </w:r>
      <w:r>
        <w:rPr>
          <w:rFonts w:hint="eastAsia" w:ascii="Times New Roman" w:hAnsi="Times New Roman" w:eastAsia="方正仿宋_GBK"/>
          <w:sz w:val="32"/>
          <w:szCs w:val="32"/>
          <w:lang w:eastAsia="zh-CN"/>
        </w:rPr>
        <w:t>单</w:t>
      </w:r>
      <w:r>
        <w:rPr>
          <w:rFonts w:ascii="Times New Roman" w:hAnsi="Times New Roman" w:eastAsia="方正仿宋_GBK"/>
          <w:sz w:val="32"/>
          <w:szCs w:val="32"/>
        </w:rPr>
        <w:t>，提供相关资料；按照州财政局要求，做好按月收支电子数据传输，确保数据无误。</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（四）存储管理:按照州财政局要求，每</w:t>
      </w:r>
      <w:r>
        <w:rPr>
          <w:rFonts w:hint="eastAsia" w:ascii="Times New Roman" w:hAnsi="Times New Roman" w:eastAsia="方正仿宋_GBK"/>
          <w:sz w:val="32"/>
          <w:szCs w:val="32"/>
          <w:lang w:eastAsia="zh-CN"/>
        </w:rPr>
        <w:t>季度</w:t>
      </w:r>
      <w:r>
        <w:rPr>
          <w:rFonts w:ascii="Times New Roman" w:hAnsi="Times New Roman" w:eastAsia="方正仿宋_GBK"/>
          <w:sz w:val="32"/>
          <w:szCs w:val="32"/>
        </w:rPr>
        <w:t>终了后4个工作日内提供准确的社保基金存储情况统计表。</w:t>
      </w:r>
      <w:bookmarkStart w:id="0" w:name="_GoBack"/>
      <w:bookmarkEnd w:id="0"/>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二、其他业务</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按照要求</w:t>
      </w:r>
      <w:r>
        <w:rPr>
          <w:rFonts w:hint="eastAsia" w:ascii="Times New Roman" w:hAnsi="Times New Roman" w:eastAsia="方正仿宋_GBK"/>
          <w:sz w:val="32"/>
          <w:szCs w:val="32"/>
          <w:lang w:eastAsia="zh-CN"/>
        </w:rPr>
        <w:t>提供足额质押债券，</w:t>
      </w:r>
      <w:r>
        <w:rPr>
          <w:rFonts w:ascii="Times New Roman" w:hAnsi="Times New Roman" w:eastAsia="方正仿宋_GBK"/>
          <w:sz w:val="32"/>
          <w:szCs w:val="32"/>
        </w:rPr>
        <w:t>做好其他业务支持配合工作。</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参与银行授权代表签字：</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参与银行（公章）：</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日期：      年      月      日</w:t>
      </w:r>
    </w:p>
    <w:p>
      <w:pPr>
        <w:spacing w:line="560" w:lineRule="exact"/>
        <w:rPr>
          <w:rFonts w:ascii="Times New Roman" w:hAnsi="Times New Roman" w:eastAsia="方正仿宋_GBK"/>
          <w:color w:val="FF0000"/>
          <w:sz w:val="32"/>
          <w:szCs w:val="32"/>
        </w:rPr>
      </w:pPr>
      <w:r>
        <w:rPr>
          <w:rFonts w:ascii="Times New Roman" w:hAnsi="Times New Roman" w:eastAsia="方正仿宋_GBK"/>
          <w:sz w:val="32"/>
          <w:szCs w:val="32"/>
        </w:rPr>
        <w:t>附件六   竞争利率</w:t>
      </w:r>
      <w:r>
        <w:rPr>
          <w:rFonts w:hint="eastAsia" w:ascii="Times New Roman" w:hAnsi="Times New Roman" w:eastAsia="方正仿宋_GBK"/>
          <w:color w:val="FF0000"/>
          <w:sz w:val="32"/>
          <w:szCs w:val="32"/>
          <w:lang w:eastAsia="zh-CN"/>
        </w:rPr>
        <w:t>（密封后现场竞争提交，报名无需提交）</w:t>
      </w:r>
    </w:p>
    <w:p>
      <w:pPr>
        <w:spacing w:line="560" w:lineRule="exact"/>
        <w:ind w:firstLine="646" w:firstLineChars="202"/>
        <w:rPr>
          <w:rFonts w:hint="eastAsia" w:ascii="Times New Roman" w:hAnsi="Times New Roman" w:eastAsia="方正仿宋_GBK"/>
          <w:sz w:val="32"/>
          <w:szCs w:val="32"/>
        </w:rPr>
      </w:pPr>
      <w:r>
        <w:rPr>
          <w:rFonts w:ascii="Times New Roman" w:hAnsi="Times New Roman" w:eastAsia="方正仿宋_GBK"/>
          <w:sz w:val="32"/>
          <w:szCs w:val="32"/>
        </w:rPr>
        <w:t xml:space="preserve"> </w:t>
      </w:r>
    </w:p>
    <w:p>
      <w:pPr>
        <w:spacing w:line="56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rPr>
        <w:t>202</w:t>
      </w:r>
      <w:r>
        <w:rPr>
          <w:rFonts w:hint="eastAsia" w:ascii="方正小标宋简体" w:hAnsi="Times New Roman" w:eastAsia="方正小标宋简体"/>
          <w:sz w:val="36"/>
          <w:szCs w:val="36"/>
          <w:lang w:val="en-US" w:eastAsia="zh-CN"/>
        </w:rPr>
        <w:t>4</w:t>
      </w:r>
      <w:r>
        <w:rPr>
          <w:rFonts w:hint="eastAsia" w:ascii="方正小标宋简体" w:hAnsi="Times New Roman" w:eastAsia="方正小标宋简体"/>
          <w:sz w:val="36"/>
          <w:szCs w:val="36"/>
        </w:rPr>
        <w:t>年大理州本级社会保险基金定期存款竞争利率</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 xml:space="preserve"> </w:t>
      </w:r>
    </w:p>
    <w:tbl>
      <w:tblPr>
        <w:tblStyle w:val="3"/>
        <w:tblW w:w="8820" w:type="dxa"/>
        <w:tblInd w:w="-72" w:type="dxa"/>
        <w:tblLayout w:type="fixed"/>
        <w:tblCellMar>
          <w:top w:w="0" w:type="dxa"/>
          <w:left w:w="108" w:type="dxa"/>
          <w:bottom w:w="0" w:type="dxa"/>
          <w:right w:w="108" w:type="dxa"/>
        </w:tblCellMar>
      </w:tblPr>
      <w:tblGrid>
        <w:gridCol w:w="3727"/>
        <w:gridCol w:w="3749"/>
        <w:gridCol w:w="1344"/>
      </w:tblGrid>
      <w:tr>
        <w:tblPrEx>
          <w:tblLayout w:type="fixed"/>
          <w:tblCellMar>
            <w:top w:w="0" w:type="dxa"/>
            <w:left w:w="108" w:type="dxa"/>
            <w:bottom w:w="0" w:type="dxa"/>
            <w:right w:w="108" w:type="dxa"/>
          </w:tblCellMar>
        </w:tblPrEx>
        <w:trPr>
          <w:trHeight w:val="273" w:hRule="atLeast"/>
        </w:trPr>
        <w:tc>
          <w:tcPr>
            <w:tcW w:w="37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本年社会保险基金定期存款利率</w:t>
            </w:r>
          </w:p>
        </w:tc>
        <w:tc>
          <w:tcPr>
            <w:tcW w:w="374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三个月</w:t>
            </w:r>
          </w:p>
        </w:tc>
        <w:tc>
          <w:tcPr>
            <w:tcW w:w="1344"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line="560" w:lineRule="exact"/>
              <w:ind w:left="0" w:right="0"/>
              <w:jc w:val="center"/>
              <w:rPr>
                <w:rFonts w:ascii="Times New Roman" w:hAnsi="Times New Roman" w:eastAsia="方正仿宋_GBK"/>
                <w:sz w:val="32"/>
                <w:szCs w:val="32"/>
              </w:rPr>
            </w:pPr>
            <w:r>
              <w:rPr>
                <w:rFonts w:hint="eastAsia" w:ascii="方正仿宋_GBK" w:hAnsi="方正仿宋_GBK" w:eastAsia="方正仿宋_GBK" w:cs="方正仿宋_GBK"/>
                <w:sz w:val="32"/>
                <w:szCs w:val="32"/>
              </w:rPr>
              <w:t>×</w:t>
            </w:r>
          </w:p>
        </w:tc>
      </w:tr>
      <w:tr>
        <w:tblPrEx>
          <w:tblLayout w:type="fixed"/>
          <w:tblCellMar>
            <w:top w:w="0" w:type="dxa"/>
            <w:left w:w="108" w:type="dxa"/>
            <w:bottom w:w="0" w:type="dxa"/>
            <w:right w:w="108" w:type="dxa"/>
          </w:tblCellMar>
        </w:tblPrEx>
        <w:trPr>
          <w:trHeight w:val="273" w:hRule="atLeast"/>
        </w:trPr>
        <w:tc>
          <w:tcPr>
            <w:tcW w:w="37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c>
          <w:tcPr>
            <w:tcW w:w="374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一年期</w:t>
            </w:r>
          </w:p>
        </w:tc>
        <w:tc>
          <w:tcPr>
            <w:tcW w:w="1344"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line="560" w:lineRule="exact"/>
              <w:ind w:right="0"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w:t>
            </w:r>
          </w:p>
        </w:tc>
      </w:tr>
      <w:tr>
        <w:tblPrEx>
          <w:tblLayout w:type="fixed"/>
          <w:tblCellMar>
            <w:top w:w="0" w:type="dxa"/>
            <w:left w:w="108" w:type="dxa"/>
            <w:bottom w:w="0" w:type="dxa"/>
            <w:right w:w="108" w:type="dxa"/>
          </w:tblCellMar>
        </w:tblPrEx>
        <w:trPr>
          <w:trHeight w:val="273" w:hRule="atLeast"/>
        </w:trPr>
        <w:tc>
          <w:tcPr>
            <w:tcW w:w="37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c>
          <w:tcPr>
            <w:tcW w:w="374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二年期</w:t>
            </w:r>
          </w:p>
        </w:tc>
        <w:tc>
          <w:tcPr>
            <w:tcW w:w="1344"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line="560" w:lineRule="exact"/>
              <w:ind w:left="0" w:right="0"/>
              <w:jc w:val="center"/>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p>
        </w:tc>
      </w:tr>
      <w:tr>
        <w:tblPrEx>
          <w:tblLayout w:type="fixed"/>
          <w:tblCellMar>
            <w:top w:w="0" w:type="dxa"/>
            <w:left w:w="108" w:type="dxa"/>
            <w:bottom w:w="0" w:type="dxa"/>
            <w:right w:w="108" w:type="dxa"/>
          </w:tblCellMar>
        </w:tblPrEx>
        <w:trPr>
          <w:trHeight w:val="273" w:hRule="atLeast"/>
        </w:trPr>
        <w:tc>
          <w:tcPr>
            <w:tcW w:w="37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c>
          <w:tcPr>
            <w:tcW w:w="374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r>
              <w:rPr>
                <w:rFonts w:ascii="Times New Roman" w:hAnsi="Times New Roman" w:eastAsia="方正仿宋_GBK"/>
                <w:sz w:val="32"/>
                <w:szCs w:val="32"/>
              </w:rPr>
              <w:t>三年期</w:t>
            </w:r>
          </w:p>
        </w:tc>
        <w:tc>
          <w:tcPr>
            <w:tcW w:w="1344"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line="560" w:lineRule="exact"/>
              <w:ind w:left="0" w:right="0"/>
              <w:jc w:val="center"/>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p>
        </w:tc>
      </w:tr>
      <w:tr>
        <w:tblPrEx>
          <w:tblLayout w:type="fixed"/>
          <w:tblCellMar>
            <w:top w:w="0" w:type="dxa"/>
            <w:left w:w="108" w:type="dxa"/>
            <w:bottom w:w="0" w:type="dxa"/>
            <w:right w:w="108" w:type="dxa"/>
          </w:tblCellMar>
        </w:tblPrEx>
        <w:trPr>
          <w:trHeight w:val="273" w:hRule="atLeast"/>
        </w:trPr>
        <w:tc>
          <w:tcPr>
            <w:tcW w:w="37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jc w:val="center"/>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提前支取或部分支取优惠利率</w:t>
            </w:r>
          </w:p>
        </w:tc>
        <w:tc>
          <w:tcPr>
            <w:tcW w:w="374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c>
          <w:tcPr>
            <w:tcW w:w="1344"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line="560" w:lineRule="exact"/>
              <w:ind w:left="0" w:right="0" w:firstLine="646" w:firstLineChars="202"/>
              <w:rPr>
                <w:rFonts w:ascii="Times New Roman" w:hAnsi="Times New Roman" w:eastAsia="方正仿宋_GBK"/>
                <w:sz w:val="32"/>
                <w:szCs w:val="32"/>
              </w:rPr>
            </w:pPr>
          </w:p>
        </w:tc>
      </w:tr>
    </w:tbl>
    <w:p>
      <w:pPr>
        <w:spacing w:line="560" w:lineRule="exact"/>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说明：提前支取或部分支取优惠利率项不参与打分，仅在特殊情况下使用。</w:t>
      </w:r>
      <w:r>
        <w:rPr>
          <w:rFonts w:hint="eastAsia" w:ascii="Times New Roman" w:hAnsi="Times New Roman" w:eastAsia="方正仿宋_GBK"/>
          <w:sz w:val="32"/>
          <w:szCs w:val="32"/>
          <w:lang w:eastAsia="zh-CN"/>
        </w:rPr>
        <w:t>竞争利率需符合人民银行相关监管要求。</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参与银行授权代表签字：</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参与银行（公章）：</w:t>
      </w:r>
    </w:p>
    <w:p>
      <w:pPr>
        <w:spacing w:line="560" w:lineRule="exact"/>
        <w:ind w:firstLine="646" w:firstLineChars="202"/>
        <w:rPr>
          <w:rFonts w:ascii="Times New Roman" w:hAnsi="Times New Roman" w:eastAsia="方正仿宋_GBK"/>
          <w:sz w:val="32"/>
          <w:szCs w:val="32"/>
        </w:rPr>
      </w:pPr>
      <w:r>
        <w:rPr>
          <w:rFonts w:ascii="Times New Roman" w:hAnsi="Times New Roman" w:eastAsia="方正仿宋_GBK"/>
          <w:sz w:val="32"/>
          <w:szCs w:val="32"/>
        </w:rPr>
        <w:t>日期：      年      月      日</w:t>
      </w: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pPr>
        <w:spacing w:line="560" w:lineRule="exact"/>
        <w:rPr>
          <w:rFonts w:hint="eastAsia" w:ascii="Times New Roman" w:hAnsi="Times New Roman" w:eastAsia="方正仿宋_GBK"/>
          <w:sz w:val="32"/>
          <w:szCs w:val="32"/>
        </w:rPr>
      </w:pPr>
    </w:p>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F60CC"/>
    <w:rsid w:val="01A45DB3"/>
    <w:rsid w:val="026C0F48"/>
    <w:rsid w:val="06BF0902"/>
    <w:rsid w:val="11451554"/>
    <w:rsid w:val="13541F5D"/>
    <w:rsid w:val="16CC3CC1"/>
    <w:rsid w:val="17966610"/>
    <w:rsid w:val="1D1D6515"/>
    <w:rsid w:val="20077DEE"/>
    <w:rsid w:val="208F60CC"/>
    <w:rsid w:val="24F62ABE"/>
    <w:rsid w:val="264C798F"/>
    <w:rsid w:val="265930E0"/>
    <w:rsid w:val="2E2A50B4"/>
    <w:rsid w:val="30942315"/>
    <w:rsid w:val="36347383"/>
    <w:rsid w:val="3F330C1A"/>
    <w:rsid w:val="4B5E6D8B"/>
    <w:rsid w:val="50B278A3"/>
    <w:rsid w:val="57E32053"/>
    <w:rsid w:val="59546E04"/>
    <w:rsid w:val="71977D58"/>
    <w:rsid w:val="750F214A"/>
    <w:rsid w:val="7B485A7A"/>
    <w:rsid w:val="7E183C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2021-05-10T03:02:00Z</dcterms:created>
  <dc:creator>左旋</dc:creator>
  <cp:lastModifiedBy>张曦</cp:lastModifiedBy>
  <cp:lastPrinted>2022-07-12T06:17:00Z</cp:lastPrinted>
  <dcterms:modified xsi:type="dcterms:W3CDTF">2024-08-09T02:25:47Z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