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A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道路旅客运输站经营许可</w:t>
      </w:r>
    </w:p>
    <w:p w14:paraId="1A29CA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【00011821500001】</w:t>
      </w:r>
    </w:p>
    <w:p w14:paraId="488292D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1CD8B3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道路旅客运输站经营</w:t>
      </w:r>
      <w:r>
        <w:rPr>
          <w:rFonts w:hint="eastAsia" w:ascii="华文仿宋" w:hAnsi="华文仿宋" w:eastAsia="华文仿宋" w:cs="华文仿宋"/>
          <w:b w:val="0"/>
          <w:bCs w:val="0"/>
          <w:strike w:val="0"/>
          <w:dstrike w:val="0"/>
          <w:sz w:val="32"/>
          <w:szCs w:val="32"/>
          <w:lang w:val="en-US" w:eastAsia="zh-CN"/>
        </w:rPr>
        <w:t>许可</w:t>
      </w:r>
    </w:p>
    <w:p w14:paraId="07B2CBD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14:paraId="30F8EE5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14:paraId="128B756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14:paraId="178C742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14:paraId="0F45C5D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14:paraId="6B270E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14:paraId="0CA6DF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道路旅客运输站经营许可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000118215000</w:t>
      </w:r>
      <w:r>
        <w:rPr>
          <w:rFonts w:hint="eastAsia" w:ascii="华文仿宋" w:hAnsi="华文仿宋" w:eastAsia="华文仿宋" w:cs="华文仿宋"/>
          <w:b w:val="0"/>
          <w:bCs w:val="0"/>
          <w:strike w:val="0"/>
          <w:dstrike w:val="0"/>
          <w:sz w:val="32"/>
          <w:szCs w:val="32"/>
          <w:lang w:val="en-US" w:eastAsia="zh-CN"/>
        </w:rPr>
        <w:t>】</w:t>
      </w:r>
    </w:p>
    <w:p w14:paraId="2F8C0B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14:paraId="34695C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无</w:t>
      </w:r>
    </w:p>
    <w:p w14:paraId="21D8D6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14:paraId="45F421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道路旅客运输站经营许可(00011821500001)</w:t>
      </w:r>
    </w:p>
    <w:p w14:paraId="131898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14:paraId="412DAD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《中华人民共和国道路运输条例》第三十九条</w:t>
      </w:r>
    </w:p>
    <w:p w14:paraId="6C956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14:paraId="6BF9C9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《中华人民共和国道路运输条例》第三十六条，第三十九条</w:t>
      </w:r>
    </w:p>
    <w:p w14:paraId="404DB9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14:paraId="0D2F5C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（1）《中华人民共和国道路运输条例》第二条、第七条、第五十八条、第五十九条、第六十条、第六十五条、第六十六条、第七十五条　</w:t>
      </w:r>
    </w:p>
    <w:p w14:paraId="702EF9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二条、第六条、第三十三条、第八十二条、第八十四条、第八十五条、第八十六条、第八十八条、第九十二条、第九十四条、第九十五条、第九十八条、第一百零一条、第一百零二条、第一百零三条</w:t>
      </w:r>
    </w:p>
    <w:p w14:paraId="1B43E4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14:paraId="5F21C9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14:paraId="087550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14:paraId="51F823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14:paraId="0E12BF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14:paraId="104B63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14:paraId="6DE16A5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14:paraId="662B3E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14.对应政务服务事项国家级基本目录名称：道路旅客运输站（场）经营许可</w:t>
      </w:r>
    </w:p>
    <w:p w14:paraId="0F84905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14:paraId="49CD71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14:paraId="12E8BCD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14:paraId="57DB01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14:paraId="6A444A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（1）客运站经验收合格；</w:t>
      </w:r>
    </w:p>
    <w:p w14:paraId="795DEE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（2）有与业务量相适应的专业人员和管理人员；</w:t>
      </w:r>
    </w:p>
    <w:p w14:paraId="2C819AD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（3）有相应的设备、设施；</w:t>
      </w:r>
      <w:bookmarkStart w:id="0" w:name="_GoBack"/>
      <w:bookmarkEnd w:id="0"/>
    </w:p>
    <w:p w14:paraId="3408E80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14:paraId="49EB1E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14:paraId="6B95FA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（1）《中华人民共和国道路运输条例》第三十九条  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15日内审查完毕，作出许可或者不予许可的决定，并书面通知申请人。</w:t>
      </w:r>
    </w:p>
    <w:p w14:paraId="5737C4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（2）《道路旅客运输及客运站管理规定》第十五条　申请从事客运站经营的，应当具备下列条件：</w:t>
      </w:r>
    </w:p>
    <w:p w14:paraId="62B139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（一）客运站经验收合格；</w:t>
      </w:r>
    </w:p>
    <w:p w14:paraId="29B2C1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（二）有与业务量相适应的专业人员和管理人员；</w:t>
      </w:r>
    </w:p>
    <w:p w14:paraId="0B5D615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（三）有相应的设备、设施；</w:t>
      </w:r>
    </w:p>
    <w:p w14:paraId="0B7AB9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14:paraId="344C0D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第十六条 申请从事客运站经营的，应当依法向市场监督管理部门办理有关登记手续后，向所在地县级交通运输主管部门提出申请。</w:t>
      </w:r>
    </w:p>
    <w:p w14:paraId="4CC0149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14:paraId="257E3B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自然人，企业法人</w:t>
      </w:r>
    </w:p>
    <w:p w14:paraId="637C30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是</w:t>
      </w:r>
    </w:p>
    <w:p w14:paraId="63AC7B0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道路旅客运输站经营许可</w:t>
      </w:r>
    </w:p>
    <w:p w14:paraId="255BE8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道路运输经营许可证</w:t>
      </w:r>
    </w:p>
    <w:p w14:paraId="7C7D3A5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实行告知承诺</w:t>
      </w:r>
    </w:p>
    <w:p w14:paraId="4A3053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14:paraId="64F7CE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制作并公布告知承诺书格式文本，一次性告知申请人许可条件和所需材料。对申请人自愿承诺符合许可条件并按要求提交材料的，将承诺审批时限由15个工作日压减至3个工作日。</w:t>
      </w:r>
    </w:p>
    <w:p w14:paraId="1090DA1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14:paraId="1FBE9A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（1）开展“双随机、一公开”监管，对诚信状况差、投诉举报多、受处罚警告多的客运站提高抽查比例。</w:t>
      </w:r>
    </w:p>
    <w:p w14:paraId="705FFB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（2）向社会公开客运站承诺内容，加强社会监督，对不符合承诺条件开展经营的要责令限期整改，逾期不整改或整改后仍达不到要求的，要依法撤销许可证件。</w:t>
      </w:r>
    </w:p>
    <w:p w14:paraId="099E973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 xml:space="preserve">（3）依法及时处理投诉举报。 </w:t>
      </w:r>
    </w:p>
    <w:p w14:paraId="70EC9D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（4）针对日常动态监管发现的普遍性问题和突出风险组织开展专项检查。</w:t>
      </w:r>
    </w:p>
    <w:p w14:paraId="3FE116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14:paraId="45FA0B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14:paraId="1D7980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（1）《道路旅客运输站经营申请表》；</w:t>
      </w:r>
    </w:p>
    <w:p w14:paraId="73C332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（2）企业法定代表人或者个体经营者身份证件，经办人的身份证件和委托书；</w:t>
      </w:r>
    </w:p>
    <w:p w14:paraId="7DAFCA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（3）承诺已具备《道路旅客运输及客运站管理规定》（交通运输部令2022年第33号）第十五条的条件。</w:t>
      </w:r>
    </w:p>
    <w:p w14:paraId="509CAB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14:paraId="494B0E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（1）《中华人民共和国道路运输条例》第三十六条　申请从事道路运输站（场）经营的，应当具备下列条件：</w:t>
      </w:r>
    </w:p>
    <w:p w14:paraId="21382FA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（一）有经验收合格的运输站（场）；</w:t>
      </w:r>
    </w:p>
    <w:p w14:paraId="65BD80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（二）有相应的专业人员和管理人员；</w:t>
      </w:r>
    </w:p>
    <w:p w14:paraId="4CF951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（三）有相应的设备、设施；</w:t>
      </w:r>
    </w:p>
    <w:p w14:paraId="2CB962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（四）有健全的业务操作规程和安全管理制度。</w:t>
      </w:r>
    </w:p>
    <w:p w14:paraId="007303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第三十九条 申请从事道路运输站(场)经营和机动车驾驶员培训业务的，应当在依法向市场监督管理部门办理有关登记手续后，向所在地县级人民政府交通运输主管部门提出申请，并分别附送符合本条例第三十六条、第三十八条规定条件的相关材料。县级人民政府交通运输主管部门应当自受理申请之日起15日内审查完毕，作出许可或者不予许可的决定，并书面通知申请人。</w:t>
      </w:r>
    </w:p>
    <w:p w14:paraId="442962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（2）《道路旅客运输及客运站管理规定》（交通运输部令2022年第33号）第十五条、第十六条、第十七条、第二十一条、第二十二条、第三十条　第十五条　申请从事客运站经营的，应当具备下列条件：</w:t>
      </w:r>
    </w:p>
    <w:p w14:paraId="264D8E7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（一）客运站经验收合格；</w:t>
      </w:r>
    </w:p>
    <w:p w14:paraId="4254C2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（二）有与业务量相适应的专业人员和管理人员；</w:t>
      </w:r>
    </w:p>
    <w:p w14:paraId="2AC7C3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（三）有相应的设备、设施；</w:t>
      </w:r>
    </w:p>
    <w:p w14:paraId="6BAAA8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14:paraId="70679B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第十六条：　申请从事客运站经营的，应当依法向市场监督管理部门办理有关登记手续后，向所在地县级交通运输主管部门提出申请。</w:t>
      </w:r>
    </w:p>
    <w:p w14:paraId="494C8E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第十七条 申请从事客运站经营的，应当提供下列材料：</w:t>
      </w:r>
    </w:p>
    <w:p w14:paraId="259877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（一）《道路旅客运输站经营申请表》；</w:t>
      </w:r>
    </w:p>
    <w:p w14:paraId="41F4232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（二）企业法定代表人或者个体经营者身份证件，经办人的身份证件和委托书；</w:t>
      </w:r>
    </w:p>
    <w:p w14:paraId="1D34ED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（三）承诺已具备本规定第十五条规定的条件。</w:t>
      </w:r>
    </w:p>
    <w:p w14:paraId="7A8B031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第二十一条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明确经营主体、客运站名称、站场地址、站场级别和经营范围等许可事项，并在10日内向被许可人发放《道路运输经营许可证》。</w:t>
      </w:r>
    </w:p>
    <w:p w14:paraId="51F8EB1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14:paraId="29F1D6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14:paraId="775C40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14:paraId="5E45C6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14:paraId="0919C1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14:paraId="2270B4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14:paraId="65B6D7E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14:paraId="07147C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14:paraId="5C5D4C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14:paraId="27F9F4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14:paraId="278A14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（3）作出许可决定</w:t>
      </w:r>
    </w:p>
    <w:p w14:paraId="70FAF7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（4）颁发许可证件</w:t>
      </w:r>
    </w:p>
    <w:p w14:paraId="778B63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14:paraId="791561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《中华人民共和国道路运输条例》第三十六条、第三十九条 第三十六条 申请从事道路运输站（场）经营的，应当具备下列条件：</w:t>
      </w:r>
    </w:p>
    <w:p w14:paraId="3649E7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（一）有经验收合格的运输站（场）；</w:t>
      </w:r>
    </w:p>
    <w:p w14:paraId="1DBBE4D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（二）有相应的专业人员和管理人员；</w:t>
      </w:r>
    </w:p>
    <w:p w14:paraId="091185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（三）有相应的设备、设施；</w:t>
      </w:r>
    </w:p>
    <w:p w14:paraId="4DEE3E8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（四）有健全的业务操作规程和安全管理制度。</w:t>
      </w:r>
    </w:p>
    <w:p w14:paraId="3577AB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第三十九条 申请从事道路运输站(场)经营和机动车驾驶员培训业务的，应当在依法向市场监督管理部门办理有关登记手续后，向所在地县级人民政府交通运输主管部门提出申请，并分别附送符合本条例第三十六条、第三十八条规定条件的相关材料。县级人民政府交通运输主管部门应当自受理申请之日起15日内审查完毕，作出许可或者不予许可的决定，并书面通知申请人。</w:t>
      </w:r>
    </w:p>
    <w:p w14:paraId="1F6C4C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《道路旅客运输及客运站管理规定》（交通运输部令2022年第33号）第十五条、第十六条、第十七条、第十九条、第二十一条、第二十二条、第三十条、第三十三条　第十五条 申请从事客运站经营的，应当具备下列条件：</w:t>
      </w:r>
    </w:p>
    <w:p w14:paraId="5F54FF2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（一）客运站经验收合格；</w:t>
      </w:r>
    </w:p>
    <w:p w14:paraId="7169EC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（二）有与业务量相适应的专业人员和管理人员；</w:t>
      </w:r>
    </w:p>
    <w:p w14:paraId="6DB24B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（三）有相应的设备、设施；</w:t>
      </w:r>
    </w:p>
    <w:p w14:paraId="442829A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14:paraId="61547B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第十六条 申请从事客运站经营的，应当依法向市场监督管理部门办理有关登记手续后，向所在地县级交通运输主管部门提出申请。</w:t>
      </w:r>
    </w:p>
    <w:p w14:paraId="3E46562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第十七条 申请从事客运站经营的，应当提供下列材料：</w:t>
      </w:r>
    </w:p>
    <w:p w14:paraId="5D3C6C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（一）《道路旅客运输站经营申请表》；</w:t>
      </w:r>
    </w:p>
    <w:p w14:paraId="510318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（二）企业法定代表人或者个体经营者身份证件，经办人的身份证件和委托书；</w:t>
      </w:r>
    </w:p>
    <w:p w14:paraId="11B8AC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（三）承诺已具备本规定第十五条规定的条件。</w:t>
      </w:r>
    </w:p>
    <w:p w14:paraId="27745C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交通运输主管部门应当按照《中华人民共和国道路运输条例》和《交通行政许可实施程序规定》以及本规定规范的程序实施道路客运经营、道路客运班线经营和客运站经营的行政许可。</w:t>
      </w:r>
    </w:p>
    <w:p w14:paraId="45C208C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第二十一条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明确经营主体、客运站名称、站场地址、站场级别和经营范围等许可事项，并在10日内向被许可人发放《道路运输经营许可证》。</w:t>
      </w:r>
    </w:p>
    <w:p w14:paraId="2F59D5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第二十二条  交通运输主管部门对不符合法定条件的申请作出不予行政许可决定的，应当向申请人出具《不予交通行政许可决定书》，并说明理由。</w:t>
      </w:r>
    </w:p>
    <w:p w14:paraId="57763B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14:paraId="7DBA074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14:paraId="663C3D9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14:paraId="2475D8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3.是否需要现场勘验：否</w:t>
      </w:r>
    </w:p>
    <w:p w14:paraId="2255A4F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14:paraId="459134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14:paraId="471054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14:paraId="1AFBB9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14:paraId="0FEF1E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14:paraId="61DB78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9.是否需要向社会公示：否</w:t>
      </w:r>
    </w:p>
    <w:p w14:paraId="70F38A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10.是否实行告知承诺办理：是</w:t>
      </w:r>
    </w:p>
    <w:p w14:paraId="2954F16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14:paraId="0DD3337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14:paraId="279CB6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1.承诺受理时限：3个工作日</w:t>
      </w:r>
    </w:p>
    <w:p w14:paraId="0CE8EE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2.法定审批时限：15个工作日</w:t>
      </w:r>
    </w:p>
    <w:p w14:paraId="57F356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14:paraId="52D41A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《道路旅客运输及客运站管理规定》（交通运输部令2022年第33号）第二十一条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明确经营主体、客运站名称、站场地址、站场级别和经营范围等许可事项，并在10日内向被许可人发放《道路运输经营许可证》。</w:t>
      </w:r>
    </w:p>
    <w:p w14:paraId="1E44A6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4.承诺审批时限：3个工作日</w:t>
      </w:r>
    </w:p>
    <w:p w14:paraId="237BE03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14:paraId="095F25D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1.办理行政许可是否收费：是</w:t>
      </w:r>
    </w:p>
    <w:p w14:paraId="185DC8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w:t>
      </w:r>
    </w:p>
    <w:p w14:paraId="54A14F1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（1）收费项目名称：工本费</w:t>
      </w:r>
    </w:p>
    <w:p w14:paraId="653BC1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（2）收费项目标准：《中华人民共和国道路运输条例》第八十一条 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14:paraId="3ED45B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（3）设定收费项目的依据：</w:t>
      </w:r>
    </w:p>
    <w:p w14:paraId="6561F85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《中华人民共和国道路运输条例》第八十一条　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14:paraId="289D52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（4）规定收费标准的依据：</w:t>
      </w:r>
    </w:p>
    <w:p w14:paraId="398BBBC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《中华人民共和国道路运输条例》第八十一条　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14:paraId="08A4F41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14:paraId="69F58C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1.审批结果类型：证照，批文</w:t>
      </w:r>
    </w:p>
    <w:p w14:paraId="1DB5D2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2.审批结果名称：《道路旅客运输站经营行政许可决定书》《道路运输经营许可证》</w:t>
      </w:r>
    </w:p>
    <w:p w14:paraId="0640E4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3.审批结果的有效期限：无期限</w:t>
      </w:r>
    </w:p>
    <w:p w14:paraId="3ADD60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14:paraId="1754E3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《道路旅客运输及客运站管理规定》（交通运输部令2022年第33号）第二十一条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明确经营主体、客运站名称、站场地址、站场级别和经营范围等许可事项，并在10日内向被许可人发放《道路运输经营许可证》。</w:t>
      </w:r>
    </w:p>
    <w:p w14:paraId="1538DD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14:paraId="14ED49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14:paraId="262F1A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14:paraId="01781A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14:paraId="14E8A9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9.审批结果的有效地域范围：全国</w:t>
      </w:r>
    </w:p>
    <w:p w14:paraId="7EB8F6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10.规定审批结果有效地域范围的依据：无</w:t>
      </w:r>
    </w:p>
    <w:p w14:paraId="5F8D05C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14:paraId="1A8C86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14:paraId="693F8D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14:paraId="393C1B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14:paraId="21D4B2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14:paraId="2C0C4D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14:paraId="62F88CF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14:paraId="6D02C2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14:paraId="03602D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14:paraId="1DAD5B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14:paraId="17933A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14:paraId="6CF68B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14:paraId="6D8AA9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14:paraId="672F89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14:paraId="4DE12A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14:paraId="3F44D84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14:paraId="6CFDA2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14:paraId="0BF074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14:paraId="5D7C03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14:paraId="0AA098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14:paraId="0941923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14:paraId="67F6E7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14:paraId="25E39A8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14:paraId="3710AB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p>
    <w:p w14:paraId="02891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4D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89DF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589DF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0DD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GRhMmQ4ZjI1MTE2NThmZjk5NjE2ZWRhYzVkZjAifQ=="/>
  </w:docVars>
  <w:rsids>
    <w:rsidRoot w:val="61C36709"/>
    <w:rsid w:val="118E3EB8"/>
    <w:rsid w:val="22947DAD"/>
    <w:rsid w:val="32C72BBA"/>
    <w:rsid w:val="41DF489C"/>
    <w:rsid w:val="4AD056CA"/>
    <w:rsid w:val="51040F51"/>
    <w:rsid w:val="52391439"/>
    <w:rsid w:val="53D9168B"/>
    <w:rsid w:val="5D443CF5"/>
    <w:rsid w:val="601E4150"/>
    <w:rsid w:val="61C36709"/>
    <w:rsid w:val="63B95194"/>
    <w:rsid w:val="71F87130"/>
    <w:rsid w:val="76D85DC7"/>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5403</Words>
  <Characters>5564</Characters>
  <Lines>0</Lines>
  <Paragraphs>0</Paragraphs>
  <TotalTime>19</TotalTime>
  <ScaleCrop>false</ScaleCrop>
  <LinksUpToDate>false</LinksUpToDate>
  <CharactersWithSpaces>5597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2023-12-08T01:23:00Z</dcterms:created>
  <dc:creator>Lenovo</dc:creator>
  <cp:lastModifiedBy>Administrator</cp:lastModifiedBy>
  <dcterms:modified xsi:type="dcterms:W3CDTF">2024-10-12T01:42:19Z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F76C1B910530473EBB5FC73ED3B4AB46_11</vt:lpwstr>
  </property>
</Properties>
</file>