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C7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中共杉阳镇抱龙村总支部委员会</w:t>
      </w:r>
    </w:p>
    <w:p w14:paraId="71D0B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 w14:paraId="535EF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 w14:paraId="56DA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县委统一部署，2024年7月22日至9月22日十三届县委第十轮巡察第一巡察组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抱龙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村开展了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常规巡察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，县委第一巡察组向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抱龙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5AB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一、巡察反馈问题整改落实情况</w:t>
      </w:r>
    </w:p>
    <w:p w14:paraId="656C1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spacing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b w:val="0"/>
          <w:bCs w:val="0"/>
          <w:spacing w:val="0"/>
          <w:sz w:val="32"/>
          <w:szCs w:val="32"/>
          <w:highlight w:val="none"/>
          <w:u w:val="none"/>
        </w:rPr>
        <w:t>（一）</w:t>
      </w:r>
      <w:r>
        <w:rPr>
          <w:rFonts w:hint="eastAsia" w:ascii="宋体" w:hAnsi="宋体" w:eastAsia="方正楷体简体" w:cs="方正楷体简体"/>
          <w:b w:val="0"/>
          <w:bCs w:val="0"/>
          <w:spacing w:val="0"/>
          <w:sz w:val="32"/>
          <w:szCs w:val="32"/>
          <w:highlight w:val="none"/>
          <w:u w:val="none"/>
          <w:lang w:val="en-US" w:eastAsia="zh-CN"/>
        </w:rPr>
        <w:t>贯彻落实党的理论路线方针政策和党中央决策部署情况</w:t>
      </w:r>
      <w:r>
        <w:rPr>
          <w:rFonts w:hint="eastAsia" w:ascii="宋体" w:hAnsi="宋体" w:eastAsia="方正楷体简体" w:cs="方正楷体简体"/>
          <w:b w:val="0"/>
          <w:bCs w:val="0"/>
          <w:spacing w:val="0"/>
          <w:sz w:val="32"/>
          <w:szCs w:val="32"/>
          <w:highlight w:val="none"/>
          <w:u w:val="none"/>
        </w:rPr>
        <w:t>方面</w:t>
      </w:r>
    </w:p>
    <w:p w14:paraId="76A4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1.关于“学习贯彻新修订《中国共产党章程》不到位”</w:t>
      </w: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依托支部党员大会、主题党日等学习载体，抓好新修订《中国共产党章程》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学习贯彻，督促党员履行义务。</w:t>
      </w:r>
      <w:r>
        <w:rPr>
          <w:rFonts w:hint="eastAsia" w:ascii="宋体" w:hAnsi="宋体" w:eastAsia="方正仿宋简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对党员活动室进行排查，全面规范党员活动室宣传展板内容，及时更新党员材料。</w:t>
      </w:r>
    </w:p>
    <w:p w14:paraId="7F39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2.关于“‘第一议题’制度执行不到位”</w:t>
      </w: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严格执行“第一议题”制度，将“第一议题”制度作为支委会、支部党员大会第一议程执行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2024年以来，开展“第一议题”学习25场次。</w:t>
      </w:r>
    </w:p>
    <w:p w14:paraId="15DD2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3.关于“人居环境提升重形式轻实效”</w:t>
      </w: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动员农户对自家进户路进行硬化，指定临时停车场，推动人居环境整治工作提质增效。</w:t>
      </w:r>
    </w:p>
    <w:p w14:paraId="15A89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4.关于“移风易俗工作有差距”的问题整改进展情况：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修订完善“村规民约”，推动移风易俗、乡风文明成为群众共识。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加大对移风易俗、推进乡风文明的宣传引导，开展农村党员“无事酒”整治，组织党员签订承诺书86份。</w:t>
      </w:r>
    </w:p>
    <w:p w14:paraId="276C8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5.关于“落实低保政策有差距”</w:t>
      </w: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小微权利监督平台公示低保户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强化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低保动态管理政策宣传，让群众知晓政策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主动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监督。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关心关注重点人员，解决群众急难愁盼问题，动态管理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低保人员，做到应纳尽纳、应退尽退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6139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6.关于“回应群众急难愁盼”</w:t>
      </w:r>
      <w:r>
        <w:rPr>
          <w:rFonts w:hint="eastAsia" w:ascii="宋体" w:hAnsi="宋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主动向县镇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相关部门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上报申请各类项目资金，为群众解决急难愁盼问题。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抱龙村玉泉树至梨树冲道路硬化项目已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纳入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项目库，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因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路线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较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长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逐年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进行硬化，目前已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由镇级实施1.2公里，并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将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该路段坑塘进行了填平。</w:t>
      </w:r>
      <w:r>
        <w:rPr>
          <w:rFonts w:hint="eastAsia" w:ascii="宋体" w:hAnsi="宋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松坡、盘龙、抱龙三个村集中供水工程已于2024年10月试通水，供水覆盖抱龙村全体农户，有效解决了群众生产生活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用水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问题。</w:t>
      </w:r>
    </w:p>
    <w:p w14:paraId="50D7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7.关于“项目建设存在‘半拉子’情况”</w:t>
      </w:r>
      <w:r>
        <w:rPr>
          <w:rFonts w:hint="eastAsia" w:ascii="宋体" w:hAnsi="宋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已完成魔芋加工厂建设，正进行招商引资（招租公告已在小微权利监督平台公示）；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杨家活动场所</w:t>
      </w:r>
      <w:r>
        <w:rPr>
          <w:rFonts w:hint="eastAsia" w:ascii="宋体" w:hAnsi="宋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将</w:t>
      </w:r>
      <w:r>
        <w:rPr>
          <w:rFonts w:hint="eastAsia" w:ascii="宋体" w:hAnsi="宋体" w:eastAsia="方正仿宋简体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继续向相关部门争取项目资金。</w:t>
      </w:r>
    </w:p>
    <w:p w14:paraId="7C90E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8.关于“基础设施日常管护不到位”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对全村路灯进行全面排查，对损坏路灯进行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维修。</w:t>
      </w:r>
    </w:p>
    <w:p w14:paraId="740DC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9.关于“安全隐患排查处置不到位”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对抱龙村主干道公路沿线种植的皇竹草进行铲除。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对全村陡坡、弯道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危险路段进行全面排查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并及时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设置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危险警示标志，有效避免交通事故的发生。</w:t>
      </w:r>
    </w:p>
    <w:p w14:paraId="3FC64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</w:rPr>
        <w:t>（</w:t>
      </w: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</w:rPr>
        <w:t>）</w:t>
      </w:r>
      <w:r>
        <w:rPr>
          <w:rFonts w:hint="eastAsia" w:ascii="宋体" w:hAnsi="宋体" w:eastAsia="方正楷体简体" w:cs="方正楷体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聚焦群众身边不正之风和腐败问题方面</w:t>
      </w:r>
    </w:p>
    <w:p w14:paraId="27127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10.关于“‘三资’管理督促指导不到位”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组织村两委人员学习《永平县农村集体经济组织“三资”管理办法》，并严格按规定落实到位。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规范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村、组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三资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”管理，已将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长洼子组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被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侵占的部分大地小学土地收归长洼子小组村集体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所有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。大地活动场所出租租金收入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已及时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存入永平县杉阳镇财政所代管资金财政专户。</w:t>
      </w:r>
    </w:p>
    <w:p w14:paraId="02671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11.关于“固定资产管理不规范”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再次对抱龙村固定资产进行核查，及时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将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遗漏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内容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纳入管理</w:t>
      </w:r>
      <w:r>
        <w:rPr>
          <w:rFonts w:hint="eastAsia" w:ascii="宋体" w:hAnsi="宋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大烂坝活动场所已纳入固定资产管理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 w14:paraId="00C0FD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12.关于“接受捐赠物资未进行村务公开”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组织村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“三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人员认真学习“四议两公开”制度并严格落实，及时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公示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公开村务。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通过“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小微权利监督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一点通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”对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2022年10月3日抱龙村接受云南妇联扶贫协会捐赠的20套太阳能路灯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公示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。</w:t>
      </w:r>
    </w:p>
    <w:p w14:paraId="7DB72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13.关于“资金支出程序不规范”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组织村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“三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人员认真学习《中华人民共和国村民委员会组织法》，严格落实村委会“四议两公开”制度，杜绝类似问题再次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出现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。</w:t>
      </w:r>
    </w:p>
    <w:p w14:paraId="3339B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14.关于“报账要素不齐全”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组织村“三委”人员学习《杉阳镇财务管理制度》，及时完善相关项目报账要件，举一反三，吸取教训，确保今后不再出现类似问题。</w:t>
      </w:r>
    </w:p>
    <w:p w14:paraId="22083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（三）聚焦基层党组织软弱涣散、组织力欠缺问题方面</w:t>
      </w:r>
    </w:p>
    <w:p w14:paraId="7861E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15.关于“阵地管理不实不细”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广播系统巡查检修，确保正常运行。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及时收回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陈旧国旗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，更换新国旗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已清除椒园活动场所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内杂草，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制作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标识标牌，定期打扫卫生。</w:t>
      </w:r>
    </w:p>
    <w:p w14:paraId="1DF76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16.关于“组织生活不严肃不认真”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/>
          <w:spacing w:val="0"/>
          <w:sz w:val="32"/>
          <w:szCs w:val="32"/>
          <w:highlight w:val="none"/>
          <w:lang w:val="en-US" w:eastAsia="zh-CN"/>
        </w:rPr>
        <w:t>对开展民主评议党员不严不实的情况进行全面清查</w:t>
      </w:r>
      <w:r>
        <w:rPr>
          <w:rFonts w:hint="eastAsia" w:ascii="宋体" w:hAnsi="宋体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eastAsia="方正仿宋简体"/>
          <w:spacing w:val="0"/>
          <w:sz w:val="32"/>
          <w:szCs w:val="32"/>
          <w:highlight w:val="none"/>
          <w:lang w:val="en-US" w:eastAsia="zh-CN"/>
        </w:rPr>
        <w:t>找出问题根源，对相关责任人进行严肃批评。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/>
          <w:spacing w:val="0"/>
          <w:sz w:val="32"/>
          <w:szCs w:val="32"/>
          <w:highlight w:val="none"/>
          <w:lang w:val="en-US" w:eastAsia="zh-CN"/>
        </w:rPr>
        <w:t>制作</w:t>
      </w:r>
      <w:r>
        <w:rPr>
          <w:rFonts w:hint="eastAsia" w:ascii="宋体" w:hAnsi="宋体"/>
          <w:spacing w:val="0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宋体" w:hAnsi="宋体" w:eastAsia="方正仿宋简体"/>
          <w:spacing w:val="0"/>
          <w:sz w:val="32"/>
          <w:szCs w:val="32"/>
          <w:highlight w:val="none"/>
          <w:lang w:val="en-US" w:eastAsia="zh-CN"/>
        </w:rPr>
        <w:t>组织生活制度手册</w:t>
      </w:r>
      <w:r>
        <w:rPr>
          <w:rFonts w:hint="eastAsia" w:ascii="宋体" w:hAnsi="宋体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指导</w:t>
      </w:r>
      <w:r>
        <w:rPr>
          <w:rFonts w:hint="eastAsia" w:ascii="宋体" w:hAnsi="宋体"/>
          <w:spacing w:val="0"/>
          <w:sz w:val="32"/>
          <w:szCs w:val="32"/>
          <w:highlight w:val="none"/>
          <w:lang w:val="en-US" w:eastAsia="zh-CN"/>
        </w:rPr>
        <w:t>各分支部</w:t>
      </w:r>
      <w:r>
        <w:rPr>
          <w:rFonts w:hint="eastAsia" w:ascii="宋体" w:hAnsi="宋体" w:eastAsia="方正仿宋简体"/>
          <w:spacing w:val="0"/>
          <w:sz w:val="32"/>
          <w:szCs w:val="32"/>
          <w:highlight w:val="none"/>
          <w:lang w:val="en-US" w:eastAsia="zh-CN"/>
        </w:rPr>
        <w:t>规范开展组织生活。</w:t>
      </w:r>
    </w:p>
    <w:p w14:paraId="1B6C2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17.关于“三会一课流于形式”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严格按照“三会一课”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制度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要求，督促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指导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各党支部按时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按质开展“三会一课”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宋体" w:hAnsi="宋体" w:eastAsia="方正仿宋简体" w:cs="Times New Roman"/>
          <w:b/>
          <w:bCs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积极向镇级挂钩包村领导报告，按质按量开展</w:t>
      </w:r>
      <w:r>
        <w:rPr>
          <w:rFonts w:hint="eastAsia" w:ascii="宋体" w:hAnsi="宋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“七一”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党课讲授工作。</w:t>
      </w:r>
    </w:p>
    <w:p w14:paraId="4010BF26">
      <w:pPr>
        <w:keepNext w:val="0"/>
        <w:keepLines w:val="0"/>
        <w:pageBreakBefore w:val="0"/>
        <w:widowControl w:val="0"/>
        <w:suppressLineNumbers w:val="0"/>
        <w:tabs>
          <w:tab w:val="left" w:pos="66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18.关于“党费收缴管理不规范”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/>
          <w:b/>
          <w:bCs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党费收缴规定，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实际领取离退休费总额或养老金总额为基数，重新核定离退休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老党员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党费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按月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足额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收取。</w:t>
      </w:r>
      <w:r>
        <w:rPr>
          <w:rFonts w:hint="eastAsia" w:ascii="宋体" w:hAnsi="宋体" w:cs="Times New Roman"/>
          <w:b/>
          <w:bCs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宋体" w:hAnsi="宋体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督促指导各分支部</w:t>
      </w:r>
      <w:r>
        <w:rPr>
          <w:rFonts w:hint="eastAsia" w:ascii="宋体" w:hAnsi="宋体" w:eastAsia="方正仿宋简体" w:cs="方正仿宋简体"/>
          <w:spacing w:val="0"/>
          <w:kern w:val="2"/>
          <w:sz w:val="32"/>
          <w:szCs w:val="32"/>
          <w:lang w:val="en-US" w:eastAsia="zh-CN" w:bidi="ar"/>
        </w:rPr>
        <w:t>严格执行党费日制度</w:t>
      </w:r>
      <w:r>
        <w:rPr>
          <w:rFonts w:hint="eastAsia" w:ascii="宋体" w:hAnsi="宋体" w:cs="方正仿宋简体"/>
          <w:spacing w:val="0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按月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足额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收取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党费。</w:t>
      </w:r>
    </w:p>
    <w:p w14:paraId="2A8086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19.关于“财务监督流于形式”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召开村党总支专题会议，对村务监督委员会履职问题进行研究</w:t>
      </w:r>
      <w:r>
        <w:rPr>
          <w:rFonts w:hint="eastAsia" w:ascii="宋体" w:hAnsi="宋体"/>
          <w:b w:val="0"/>
          <w:bCs w:val="0"/>
          <w:spacing w:val="0"/>
          <w:sz w:val="32"/>
          <w:szCs w:val="32"/>
          <w:highlight w:val="none"/>
          <w:lang w:val="en-US" w:eastAsia="zh-CN"/>
        </w:rPr>
        <w:t>部署</w:t>
      </w:r>
      <w:r>
        <w:rPr>
          <w:rFonts w:hint="eastAsia" w:ascii="宋体" w:hAnsi="宋体" w:eastAsia="方正仿宋简体"/>
          <w:b w:val="0"/>
          <w:bCs w:val="0"/>
          <w:spacing w:val="0"/>
          <w:sz w:val="32"/>
          <w:szCs w:val="32"/>
          <w:highlight w:val="none"/>
          <w:lang w:val="en-US" w:eastAsia="zh-CN"/>
        </w:rPr>
        <w:t>，督促村务监督委员会主任严格按照职责要求，认真履职尽责。</w:t>
      </w:r>
    </w:p>
    <w:p w14:paraId="0032A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（四）对上轮巡察及审计整改不到位问题方面</w:t>
      </w:r>
    </w:p>
    <w:p w14:paraId="53947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楷体简体" w:cs="方正楷体简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宋体" w:hAnsi="宋体" w:eastAsia="方正仿宋简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关于“‘党员教育培养缺乏有效途径’</w:t>
      </w:r>
      <w:r>
        <w:rPr>
          <w:rFonts w:hint="eastAsia" w:ascii="宋体" w:hAnsi="宋体" w:cs="方正仿宋简体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问题的整改进展情况</w:t>
      </w:r>
      <w:r>
        <w:rPr>
          <w:rFonts w:hint="eastAsia" w:ascii="宋体" w:hAnsi="宋体" w:eastAsia="方正仿宋简体"/>
          <w:b/>
          <w:bCs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宋体" w:hAnsi="宋体" w:eastAsia="方正仿宋简体" w:cs="Times New Roman"/>
          <w:b w:val="0"/>
          <w:bCs w:val="0"/>
          <w:i w:val="0"/>
          <w:iCs w:val="0"/>
          <w:spacing w:val="0"/>
          <w:kern w:val="2"/>
          <w:sz w:val="32"/>
          <w:szCs w:val="32"/>
          <w:highlight w:val="none"/>
          <w:lang w:val="en-US" w:eastAsia="zh-CN" w:bidi="ar-SA"/>
        </w:rPr>
        <w:t>组织开展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新修订的《中国共产党纪律处分条例》学习宣讲15场次，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严格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管理党员，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加大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警示教育力度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，以学促警、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以案促警</w:t>
      </w:r>
      <w:r>
        <w:rPr>
          <w:rFonts w:hint="eastAsia" w:ascii="宋体" w:hAnsi="宋体" w:cs="Times New Roman"/>
          <w:spacing w:val="0"/>
          <w:sz w:val="32"/>
          <w:szCs w:val="32"/>
          <w:highlight w:val="none"/>
          <w:lang w:val="en-US" w:eastAsia="zh-CN"/>
        </w:rPr>
        <w:t>，提升党员法纪意识，做到</w:t>
      </w:r>
      <w:r>
        <w:rPr>
          <w:rFonts w:hint="eastAsia" w:ascii="宋体" w:hAnsi="宋体" w:eastAsia="方正仿宋简体" w:cs="Times New Roman"/>
          <w:spacing w:val="0"/>
          <w:sz w:val="32"/>
          <w:szCs w:val="32"/>
          <w:highlight w:val="none"/>
          <w:lang w:val="en-US" w:eastAsia="zh-CN"/>
        </w:rPr>
        <w:t>遵规守纪。</w:t>
      </w:r>
    </w:p>
    <w:p w14:paraId="283F58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 w14:paraId="27953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pacing w:val="0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 w14:paraId="169C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 w14:paraId="2D2F8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pacing w:val="0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 w14:paraId="48176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</w:p>
    <w:p w14:paraId="21EAA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 xml:space="preserve"> </w:t>
      </w:r>
    </w:p>
    <w:p w14:paraId="14D7F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ascii="宋体" w:hAnsi="宋体" w:eastAsia="方正仿宋_GBK"/>
          <w:sz w:val="32"/>
          <w:highlight w:val="none"/>
        </w:rPr>
      </w:pPr>
      <w:r>
        <w:rPr>
          <w:rFonts w:hint="eastAsia" w:ascii="宋体" w:hAnsi="宋体" w:eastAsia="方正仿宋_GBK"/>
          <w:sz w:val="32"/>
          <w:highlight w:val="none"/>
        </w:rPr>
        <w:t>中共杉阳镇</w:t>
      </w:r>
      <w:r>
        <w:rPr>
          <w:rFonts w:hint="eastAsia" w:ascii="宋体" w:hAnsi="宋体" w:eastAsia="方正仿宋_GBK"/>
          <w:sz w:val="32"/>
          <w:highlight w:val="none"/>
          <w:lang w:eastAsia="zh-CN"/>
        </w:rPr>
        <w:t>抱龙</w:t>
      </w:r>
      <w:r>
        <w:rPr>
          <w:rFonts w:hint="eastAsia" w:ascii="宋体" w:hAnsi="宋体" w:eastAsia="方正仿宋_GBK"/>
          <w:sz w:val="32"/>
          <w:highlight w:val="none"/>
        </w:rPr>
        <w:t>村总支部委员会</w:t>
      </w:r>
    </w:p>
    <w:p w14:paraId="123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960" w:firstLine="640" w:firstLineChars="200"/>
        <w:jc w:val="right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ascii="宋体" w:hAnsi="宋体" w:eastAsia="方正仿宋_GBK"/>
          <w:sz w:val="32"/>
          <w:highlight w:val="none"/>
        </w:rPr>
        <w:t>2025年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3</w:t>
      </w:r>
      <w:r>
        <w:rPr>
          <w:rFonts w:ascii="宋体" w:hAnsi="宋体" w:eastAsia="方正仿宋_GBK"/>
          <w:sz w:val="32"/>
          <w:highlight w:val="none"/>
        </w:rPr>
        <w:t>月</w:t>
      </w:r>
      <w:r>
        <w:rPr>
          <w:rFonts w:hint="eastAsia" w:ascii="宋体" w:hAnsi="宋体" w:eastAsia="方正仿宋_GBK"/>
          <w:sz w:val="32"/>
          <w:highlight w:val="none"/>
          <w:lang w:val="en-US" w:eastAsia="zh-CN"/>
        </w:rPr>
        <w:t>2</w:t>
      </w:r>
      <w:r>
        <w:rPr>
          <w:rFonts w:ascii="宋体" w:hAnsi="宋体" w:eastAsia="方正仿宋_GBK"/>
          <w:sz w:val="32"/>
          <w:highlight w:val="none"/>
        </w:rPr>
        <w:t>日</w:t>
      </w:r>
    </w:p>
    <w:p w14:paraId="22751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960"/>
        <w:jc w:val="both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6770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6E001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6E001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5574FC"/>
    <w:rsid w:val="00D648A4"/>
    <w:rsid w:val="00DD081E"/>
    <w:rsid w:val="01830099"/>
    <w:rsid w:val="01B5006B"/>
    <w:rsid w:val="01E054EB"/>
    <w:rsid w:val="02C742A1"/>
    <w:rsid w:val="03BE065D"/>
    <w:rsid w:val="043D6C25"/>
    <w:rsid w:val="0508593E"/>
    <w:rsid w:val="05E21783"/>
    <w:rsid w:val="07CE0D41"/>
    <w:rsid w:val="07FB307F"/>
    <w:rsid w:val="09882411"/>
    <w:rsid w:val="09BE4364"/>
    <w:rsid w:val="0BAA702F"/>
    <w:rsid w:val="0BB53D16"/>
    <w:rsid w:val="0BBD65F0"/>
    <w:rsid w:val="0BF95B27"/>
    <w:rsid w:val="0CE75980"/>
    <w:rsid w:val="0E6A0B6D"/>
    <w:rsid w:val="11AE2D1F"/>
    <w:rsid w:val="124F46F3"/>
    <w:rsid w:val="1289628C"/>
    <w:rsid w:val="12CA5B28"/>
    <w:rsid w:val="137B5074"/>
    <w:rsid w:val="14C10C92"/>
    <w:rsid w:val="18EE0096"/>
    <w:rsid w:val="19F65454"/>
    <w:rsid w:val="1B824F01"/>
    <w:rsid w:val="1BE51C24"/>
    <w:rsid w:val="1CED6FE2"/>
    <w:rsid w:val="1F1545CE"/>
    <w:rsid w:val="23A6188A"/>
    <w:rsid w:val="29FD45DD"/>
    <w:rsid w:val="2AE9690F"/>
    <w:rsid w:val="2C6E17C2"/>
    <w:rsid w:val="2D583D5F"/>
    <w:rsid w:val="2FCE2CA3"/>
    <w:rsid w:val="30731155"/>
    <w:rsid w:val="307F7AFA"/>
    <w:rsid w:val="308B0B94"/>
    <w:rsid w:val="310B75DF"/>
    <w:rsid w:val="316E7EC3"/>
    <w:rsid w:val="330741CE"/>
    <w:rsid w:val="336B0BE0"/>
    <w:rsid w:val="346568DC"/>
    <w:rsid w:val="3727621C"/>
    <w:rsid w:val="38CE1005"/>
    <w:rsid w:val="38DF0868"/>
    <w:rsid w:val="39504729"/>
    <w:rsid w:val="3B2E2848"/>
    <w:rsid w:val="3B6C511E"/>
    <w:rsid w:val="3BE41159"/>
    <w:rsid w:val="3C4E2A76"/>
    <w:rsid w:val="3C5173A1"/>
    <w:rsid w:val="3D2A5291"/>
    <w:rsid w:val="3D94095C"/>
    <w:rsid w:val="3F95263E"/>
    <w:rsid w:val="40C1415E"/>
    <w:rsid w:val="40CE4D5C"/>
    <w:rsid w:val="418A09F4"/>
    <w:rsid w:val="433E5035"/>
    <w:rsid w:val="43D23F8D"/>
    <w:rsid w:val="43E066A9"/>
    <w:rsid w:val="442C7B41"/>
    <w:rsid w:val="44314E59"/>
    <w:rsid w:val="447070F7"/>
    <w:rsid w:val="45130900"/>
    <w:rsid w:val="47737835"/>
    <w:rsid w:val="47DE44C2"/>
    <w:rsid w:val="492B03C7"/>
    <w:rsid w:val="49872A8A"/>
    <w:rsid w:val="49C8247A"/>
    <w:rsid w:val="4C1879B7"/>
    <w:rsid w:val="4C7958ED"/>
    <w:rsid w:val="4C7D53DD"/>
    <w:rsid w:val="4F161B19"/>
    <w:rsid w:val="50C23D07"/>
    <w:rsid w:val="516C3C72"/>
    <w:rsid w:val="51850890"/>
    <w:rsid w:val="536D15E9"/>
    <w:rsid w:val="54004D75"/>
    <w:rsid w:val="54273E81"/>
    <w:rsid w:val="54BF40B9"/>
    <w:rsid w:val="54EA55DA"/>
    <w:rsid w:val="556507A8"/>
    <w:rsid w:val="55AD2BE5"/>
    <w:rsid w:val="55AE4859"/>
    <w:rsid w:val="56D46542"/>
    <w:rsid w:val="58070251"/>
    <w:rsid w:val="58A8566F"/>
    <w:rsid w:val="594F1EAF"/>
    <w:rsid w:val="59927FEE"/>
    <w:rsid w:val="5A382944"/>
    <w:rsid w:val="5E6261E1"/>
    <w:rsid w:val="5F6B5569"/>
    <w:rsid w:val="5FA7602D"/>
    <w:rsid w:val="60677141"/>
    <w:rsid w:val="62832BCA"/>
    <w:rsid w:val="62C3746A"/>
    <w:rsid w:val="62F256DD"/>
    <w:rsid w:val="631C1330"/>
    <w:rsid w:val="639365CC"/>
    <w:rsid w:val="643B5C08"/>
    <w:rsid w:val="64882719"/>
    <w:rsid w:val="64D15E6F"/>
    <w:rsid w:val="654F4FE5"/>
    <w:rsid w:val="69117181"/>
    <w:rsid w:val="692549DB"/>
    <w:rsid w:val="69A12183"/>
    <w:rsid w:val="69F56DE7"/>
    <w:rsid w:val="6B4751B5"/>
    <w:rsid w:val="6B480E55"/>
    <w:rsid w:val="6BEA0EC6"/>
    <w:rsid w:val="6C02302A"/>
    <w:rsid w:val="6C07661A"/>
    <w:rsid w:val="6F082BBA"/>
    <w:rsid w:val="6F1E73F5"/>
    <w:rsid w:val="70A434FD"/>
    <w:rsid w:val="723A43F6"/>
    <w:rsid w:val="72655E48"/>
    <w:rsid w:val="737F732A"/>
    <w:rsid w:val="74514522"/>
    <w:rsid w:val="75F96FD3"/>
    <w:rsid w:val="764564D0"/>
    <w:rsid w:val="76524935"/>
    <w:rsid w:val="77417FDF"/>
    <w:rsid w:val="77B77146"/>
    <w:rsid w:val="77CD4BBB"/>
    <w:rsid w:val="78226AE5"/>
    <w:rsid w:val="78E24696"/>
    <w:rsid w:val="7A044199"/>
    <w:rsid w:val="7A1C7734"/>
    <w:rsid w:val="7ADF20A2"/>
    <w:rsid w:val="7C511B70"/>
    <w:rsid w:val="7D0A41BC"/>
    <w:rsid w:val="7DC75724"/>
    <w:rsid w:val="7E6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15722</Words>
  <Characters>16078</Characters>
  <Lines>0</Lines>
  <Paragraphs>0</Paragraphs>
  <TotalTime>92</TotalTime>
  <ScaleCrop>false</ScaleCrop>
  <LinksUpToDate>false</LinksUpToDate>
  <CharactersWithSpaces>16079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Administrator</cp:lastModifiedBy>
  <cp:lastPrinted>2025-01-24T03:09:00Z</cp:lastPrinted>
  <dcterms:modified xsi:type="dcterms:W3CDTF">2025-03-12T18:36:41Z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46626A2F815B4997A8DE036A26153576_13</vt:lpwstr>
  </property>
  <property fmtid="{D5CDD505-2E9C-101B-9397-08002B2CF9AE}" pid="4" name="KSOTemplateDocerSaveRecord">
    <vt:lpwstr>eyJoZGlkIjoiZTU4YTQ0NjUzMDAxZGE2YTJkNmEwNzhhNWVjMzMxYWQifQ==</vt:lpwstr>
  </property>
</Properties>
</file>